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ACPR/241/2022 vom 15. November 2021</w:t>
      </w:r>
    </w:p>
    <w:p>
      <w:r>
        <w:t>GE Cour de justice, 2021-11-15, FR</w:t>
      </w:r>
    </w:p>
    <w:p>
      <w:r>
        <w:rPr>
          <w:b/>
        </w:rPr>
        <w:t xml:space="preserve">Quelle: </w:t>
      </w:r>
      <w:r>
        <w:t>https://mcp.opencaselaw.ch/entscheid/ge_gerichte_ACPR_241_2022</w:t>
      </w:r>
    </w:p>
    <w:p>
      <w:r>
        <w:t>FR: GE_GERICHTE ACPR/241/2022 du 15 novembre 2021</w:t>
      </w:r>
    </w:p>
    <w:p>
      <w:r>
        <w:t>IT: GE_GERICHTE ACPR/241/2022 del 15 novembre 2021</w:t>
      </w:r>
    </w:p>
    <w:p>
      <w:pPr>
        <w:pStyle w:val="Heading2"/>
      </w:pPr>
      <w:r>
        <w:t>Erwägungen</w:t>
      </w:r>
    </w:p>
    <w:p>
      <w:r>
        <w:rPr>
          <w:b/>
        </w:rPr>
        <w:t>E. 1</w:t>
      </w:r>
    </w:p>
    <w:p>
      <w:r>
        <w:t>Le recours est recevable pour avoir été déposé selon la forme et dans le délai prescrits (art. 385 al. 1 et 396 al. 1 CPP) – les formalités de notification n'ayant pas été observées (art. 85 al. 2 CPP)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Conformément à l'art. 310 al. 1 let. a CPP, le ministère public rend immédiatement une ordonnance de non-entrée en matière s'il ressort de la</w:t>
      </w:r>
    </w:p>
    <w:p>
      <w:r>
        <w:t>- 4/7 - P/9300/2021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w:t>
      </w:r>
    </w:p>
    <w:p>
      <w:r>
        <w:rPr>
          <w:b/>
        </w:rPr>
        <w:t>E. 3.2</w:t>
      </w:r>
    </w:p>
    <w:p>
      <w:r>
        <w:t>L'art. 139 CP réprime le comportement de celui qui, pour se procurer ou procurer à un tiers un enrichissement illégitime, aura soustrait une chose mobilière appartenant à autrui dans le but de se l'approprier.</w:t>
      </w:r>
    </w:p>
    <w:p>
      <w:r>
        <w:rPr>
          <w:b/>
        </w:rPr>
        <w:t>E. 3.3</w:t>
      </w:r>
    </w:p>
    <w:p>
      <w:r>
        <w:t>L'art. 181 CP, il réprime le comportement de celui qui, en usant de violence envers une personne ou en la menaçant d'un dommage sérieux, ou en l'entravant de quelque autre manière dans sa liberté d'action, l'aura obligée à faire, à ne pas faire ou à laisser faire un acte.</w:t>
      </w:r>
    </w:p>
    <w:p>
      <w:r>
        <w:rPr>
          <w:b/>
        </w:rPr>
        <w:t>E. 3.4</w:t>
      </w:r>
    </w:p>
    <w:p>
      <w:r>
        <w:t>Aux termes de l'art. 186 CP, se rend coupable de violation de domicile celui qui, notamment, d'une manière illicite et contre la volonté de l'ayant droit, aura pénétré dans une habitation. Le droit au domicile appartient à la personne qui a le pouvoir de disposer des lieux, en vertu d'un droit contractuel, d'un droit réel ou d'un rapport de droit public (ATF 128 IV 81 consid. 3 p. 84 ; arrêt du Tribunal fédéral 6B_1056/2013 du 20 août 2014 consid. 1.1). Il peut s'agir d'une personne physique comme d'une personne morale (M. DUPUIS / L. MOREILLON / C. PIGUET / S. BERGER / M. MAZOU / V. RODIGARI, Code pénal – Petit commentaire, 2e éd., Bâle 2017, n. 5 et 20 ad art. 186). En concluant un contrat de bail, le bailleur renonce à son droit au domicile, de sorte que, pendant la durée du contrat, seul le locataire, respectivement le sous- locataire, dispose de la qualité d'ayant droit au sens de l'art. 186 CP (B. CORBOZ, Les infractions en droit suisse, volume I, 3e éd., Berne 2010, n. 27 ad art. 186 CP).</w:t>
      </w:r>
    </w:p>
    <w:p>
      <w:r>
        <w:t>- 5/7 - P/9300/2021</w:t>
      </w:r>
    </w:p>
    <w:p>
      <w:r>
        <w:rPr>
          <w:b/>
        </w:rPr>
        <w:t>E. 3.5</w:t>
      </w:r>
    </w:p>
    <w:p>
      <w:r>
        <w:t>En l'espèce, les mis en cause ont tous deux déclaré qu'ils n'étaient pas en possession des clés du local sous-loué et qu'ils n'y avaient pas pénétré. Aucun élément ne permet de douter de la crédibilité de leurs déclarations, et la régie a également confirmé que personne n'avait eu accès au local – qui n'avait pas été reloué – depuis sa perquisition en août 2019. Dans ces conditions, aucun élément au dossier ne permet de soupçonner que les mis en cause auraient pénétré dans le local, qu'ils y auraient soustrait des affaires de la recourante ou qu'ils auraient changé les cylindres. Partant, il n'existe pas de soupçon suffisant de la commission des infractions de contrainte, de violation de domicile et de vol à l'égard des mis en cause. La décision du Ministère public de ne pas entrer en matière sur ces infractions ne prête ainsi pas le flanc à la critique. Le litige opposant les parties revêt un caractère essentiellement civil de sorte que la non-entrée en matière se justifiait pour ce motif également.</w:t>
      </w:r>
    </w:p>
    <w:p>
      <w:r>
        <w:rPr>
          <w:b/>
        </w:rPr>
        <w:t>E. 4</w:t>
      </w:r>
    </w:p>
    <w:p>
      <w:r>
        <w:t>Justifiée, l'ordonnance querellée sera donc confirmée.</w:t>
      </w:r>
    </w:p>
    <w:p>
      <w:r>
        <w:rPr>
          <w:b/>
        </w:rPr>
        <w:t>E. 5</w:t>
      </w:r>
    </w:p>
    <w:p>
      <w:r>
        <w:t>La recourante, qui succombe, supportera les frais envers l'État fixés en totalité à CHF 900.- (art. 428 al. 1 CPP et 13 al. 1 du Règlement fixant le tarif des frais en matière pénale, RTFMP ; E 4 10.03), émolument de décision compris. * * * * *</w:t>
      </w:r>
    </w:p>
    <w:p>
      <w:r>
        <w:t>- 6/7 - P/9300/2021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