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ACPR/239/2024 vom 16. Oktober 2023</w:t>
      </w:r>
    </w:p>
    <w:p>
      <w:r>
        <w:t>GE Cour de justice, 2023-10-16, FR</w:t>
      </w:r>
    </w:p>
    <w:p>
      <w:r>
        <w:rPr>
          <w:b/>
        </w:rPr>
        <w:t xml:space="preserve">Quelle: </w:t>
      </w:r>
      <w:r>
        <w:t>https://mcp.opencaselaw.ch/entscheid/ge_gerichte_ACPR_239_2024</w:t>
      </w:r>
    </w:p>
    <w:p>
      <w:r>
        <w:t>FR: GE_GERICHTE ACPR/239/2024 du 16 octobre 2023</w:t>
      </w:r>
    </w:p>
    <w:p>
      <w:r>
        <w:t>IT: GE_GERICHTE ACPR/239/2024 del 16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2.1</w:t>
      </w:r>
    </w:p>
    <w:p>
      <w:r>
        <w:t>Selon l'art. 319 al. 1 let. d CPP, le ministère public ordonne le classement de tout ou partie de la procédure lorsqu'il est établi que certaines conditions à l'ouverture de l'action pénale ne peuvent pas être remplies ou que des empêchements de procéder sont apparus.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ou une ordonnance de classement (art. 310 al. 1 let. b et 319 al. 1 let. d CPP; G. PIQUEREZ / A. MACALUSO, Procédure pénale suisse, 3ème éd., 2011, n. 1553 et 1555).</w:t>
      </w:r>
    </w:p>
    <w:p>
      <w:r>
        <w:rPr>
          <w:b/>
        </w:rPr>
        <w:t>E. 2.2</w:t>
      </w:r>
    </w:p>
    <w:p>
      <w:r>
        <w:t>Les art. 173 et 179ter CP sont des infractions poursuivies uniquement sur plainte et dont le bien juridique protégé est, respectivement, l'honneur et la sphère privée, en particulier la confidentialité des conversations privées (M. DUPUIS / L. MOREILLON / C. PIGUET / S. BERGER / M. MAZOU / V. RODIGARI (éds), Code pénal - Petit commentaire, 2e éd., Bâle 2017, n. 2 ad art. 179bis par renvoi du n. 2 179ter).</w:t>
      </w:r>
    </w:p>
    <w:p>
      <w:r>
        <w:rPr>
          <w:b/>
        </w:rPr>
        <w:t>E. 2.3</w:t>
      </w:r>
    </w:p>
    <w:p>
      <w:r>
        <w:t>Pour les infractions poursuivies sur plainte, l'existence d'une plainte pénale valable constitue une condition à l'ouverture – plus exactement, à l'exercice – de l'action pénale au sens de l'art. 319 al. 1 let. d CPP (Y. JEANNERET / A. KUHN /</w:t>
      </w:r>
    </w:p>
    <w:p>
      <w:r>
        <w:t>- 6/10 - P/23737/2022 C. PERRIER DEPEURSINGE (éds), Commentaire romand : Code de procédure pénale suisse, 2ème éd., Bâle 2019, n. 10 ad art. 319 et 10a ad art. 310; cf. également ATF 118 IV 325 c. 2b).</w:t>
      </w:r>
    </w:p>
    <w:p>
      <w:r>
        <w:rPr>
          <w:b/>
        </w:rPr>
        <w:t>E. 2.4</w:t>
      </w:r>
    </w:p>
    <w:p>
      <w:r>
        <w:t>Selon l'art. 30 al. 1 CP, si une infraction n'est punie que sur plainte, toute personne lésée peut porter plainte contre l'auteur. Le droit de porter plainte se prescrit par trois mois. Le délai court du jour où l’ayant droit a connu l’auteur de l’infraction (art. 31 CP).</w:t>
      </w:r>
    </w:p>
    <w:p>
      <w:r>
        <w:rPr>
          <w:b/>
        </w:rPr>
        <w:t>E. 2.5</w:t>
      </w:r>
    </w:p>
    <w:p>
      <w:r>
        <w:t>Le droit de déposer plainte est de nature strictement personnelle (ATF 141 IV 380 consid. 2.3.4; 130 IV 97 consid. 2.1 et 122 IV 207 consid. 3c).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(ATF 122 IV 207 consid. 3 c).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précité.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pour être opérante, elle doit s'exercer avant l'échéance du délai de trois mois de l'art. 31 CP (ATF 103 IV 71 consid. 4b). Dans un arrêt du 9 juin 2021 (6B_139/2021), le Tribunal fédéral a retenu qu'en l'absence de toute manifestation de volonté claire de porter plainte du client, figurant à la procédure – les seules procurations produites octroyant à l'avocat le mandat de le représenter dans l'affaire ou les affaires contre les personnes dénoncées, avec la mention de la possibilité d'"adresser au besoin toutes plaintes au pénal" –, il appartenait au mandant de ratifier les plaintes déposées par son conseil afin de manifester sa volonté de porter plainte, ce qu'il n'avait pas fait (consid. 3.2).</w:t>
      </w:r>
    </w:p>
    <w:p>
      <w:r>
        <w:rPr>
          <w:b/>
        </w:rPr>
        <w:t>E. 2.6</w:t>
      </w:r>
    </w:p>
    <w:p>
      <w:r>
        <w:t>En l'espèce, les plaintes de A______ et B______, signées uniquement par leur conseil, ont été déposées pour diffamation (art. 173 CP) et enregistrement non autorisé de conversations (art. 179ter CP).</w:t>
      </w:r>
    </w:p>
    <w:p>
      <w:r>
        <w:t>- 7/10 - P/23737/2022 Les infractions dénoncées sont poursuivies sur plainte uniquement et nécessitent, dans la mesure où elles protègent des biens immatériels strictement personnels, une procuration spéciale ou une ratification de la plainte par les lésés, dans le délai de plainte. Or, aucun de ces deux éléments ne figure à la procédure. En effet, les seules procurations figurant au dossier à disposition de la Chambre de céans – datées des 2 et 29 novembre 2021 –, font état d'un mandat de "défense pénale". Or, selon les déclarations du conseil des recourants, elles ont été signées dans le cadre de la P/1______/2022 et antérieurement à la connaissance, par ces derniers, des faits objets de la présente cause, intervenue le 19 mai 2022. On ne saurait ainsi considérer qu'elles constituent des procurations spéciales, nécessaires à la dénonciation des infractions visées dans la présente procédure. Les procurations produites au stade du recours, dès lors qu'elles n'octroient qu'un mandat pour cet acte, ne sont pas pertinentes à cet égard. Partant, aucune procuration spécifique, conférant les pouvoirs au conseil des recourants de déposer plainte en leur nom, n'a été produite au dossier. Ce constat n'est pas modifié par l'argument selon lequel les recourants auraient chacun donné une "procuration spécifique tacite" à leur mandataire, dès lors qu'il ne ressort d'aucun élément au dossier, en particulier d'aucun document, une manifestation de volonté claire, de leur part, dans le délai de l'art. 31 CP, de porter plainte pour les faits objets de la présente procédure. À défaut, il appartenait aux recourants de ratifier les plaintes déposées par leur conseil, dans le délai de plainte, ce qu'ils n'ont pas fait. Dans ces circonstances, les plaintes déposées le 27 mai 2022 ne sont pas valables. Le fait qu'elles aient été adressées dans le cadre d'une procédure pénale déjà pendante (P/1______/2022), au cours de laquelle, auparavant, les recourants avaient valablement déposé plainte et constitué le même conseil à la défense de leurs intérêts, n'y change rien. En effet, les infractions nouvellement dénoncées protégeant des biens immatériels strictement personnels, elles nécessitaient une procuration spéciale. Les procurations générales, produites précédemment à d'autres fins, ne sauraient remplir cette condition. Partant, faute de procuration spécifique et en l'absence de toute ratification dans le délai de l'art. 31 CP, le Ministère public a considéré à bon droit que les plaintes litigieuses n'ont pas été valablement déposées et qu'il existe, ainsi, un empêchement de procéder.</w:t>
      </w:r>
    </w:p>
    <w:p>
      <w:r>
        <w:t>- 8/10 - P/23737/2022 La demande d'apport du dossier de la procédure P/1______/2022 n'est pas propre à modifier ce qui précède.</w:t>
      </w:r>
    </w:p>
    <w:p>
      <w:r>
        <w:rPr>
          <w:b/>
        </w:rPr>
        <w:t>E. 3</w:t>
      </w:r>
    </w:p>
    <w:p>
      <w:r>
        <w:t>Justifiée, l'ordonnance querellée sera donc confirmée et le recours rejeté.</w:t>
      </w:r>
    </w:p>
    <w:p>
      <w:r>
        <w:rPr>
          <w:b/>
        </w:rPr>
        <w:t>E. 4</w:t>
      </w:r>
    </w:p>
    <w:p>
      <w:r>
        <w:t>Les recourants, qui succombent, supporteront solidairement les frais envers l'État, fixés en totalité à CHF 1'000.- (art. 428 al. 1 CPP et 13 al. 1 du Règlement fixant le tarif des frais en matière pénale, RTFMP ; E 4 10.03).</w:t>
      </w:r>
    </w:p>
    <w:p>
      <w:r>
        <w:rPr>
          <w:b/>
        </w:rPr>
        <w:t>E. 5</w:t>
      </w:r>
    </w:p>
    <w:p>
      <w:r>
        <w:t>L'intimé, qui agit en personne, n'allègue ni n'établit avoir supporté des frais de défense (art. 429 al. 1 let. a CPP) dans le cadre de la présente procédure, de sorte qu'aucune indemnité n'est due à ce titre. * * * * *</w:t>
      </w:r>
    </w:p>
    <w:p>
      <w:r>
        <w:t>- 9/10 - P/23737/2022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