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ACPR/239/2021 vom 13. April 2021</w:t>
      </w:r>
    </w:p>
    <w:p>
      <w:r>
        <w:t>GE Cour de justice, 2021-04-13, FR</w:t>
      </w:r>
    </w:p>
    <w:p>
      <w:r>
        <w:rPr>
          <w:b/>
        </w:rPr>
        <w:t xml:space="preserve">Quelle: </w:t>
      </w:r>
      <w:r>
        <w:t>https://mcp.opencaselaw.ch/entscheid/ge_gerichte_ACPR_239_2021</w:t>
      </w:r>
    </w:p>
    <w:p>
      <w:r>
        <w:t>FR: GE_GERICHTE ACPR/239/2021 du 13 avril 2021</w:t>
      </w:r>
    </w:p>
    <w:p>
      <w:r>
        <w:t>IT: GE_GERICHTE ACPR/239/2021 del 13 aprile 2021</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ministère public (art. 59 al. 1 let. b CPP et 128 al. 2 let. a LOJ).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ce qui est manifestement le cas en l’espèce.</w:t>
      </w:r>
    </w:p>
    <w:p>
      <w:r>
        <w:rPr>
          <w:b/>
        </w:rPr>
        <w:t>E. 2</w:t>
      </w:r>
    </w:p>
    <w:p>
      <w:r>
        <w:t>Bien que la requérante ne se réfère à aucune des hypothèses de l'art. 56 CPP – l'article du CPC qu'elle cite étant inapplicable ici –, il faut comprendre que la cause de récusation invoquée serait la lettre f de cette disposition.</w:t>
      </w:r>
    </w:p>
    <w:p>
      <w:r>
        <w:rPr>
          <w:b/>
        </w:rPr>
        <w:t>E. 2.1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w:t>
      </w:r>
    </w:p>
    <w:p>
      <w:r>
        <w:t>- 5/7 - PS/4/2021 procès ne sont pas décisives (ATF 144 I 234 consid. 5.2 p. 236 s.; 143 IV 69 consid. 3.2 p. 74). Cette disposition a la portée d'une clause générale (arrêt du Tribunal fédéral 2C_755/2008 du 7 janvier 2009 = SJ 2009 I 233, concernant l'art. 34 LTF). La procédure de récusation n'a pas pour finalité de permettre à une partie de se plaindre de la manière dont a été menée l'instruction et/ou de remettre en cause les différentes décisions incidentes prises par la direction de la procédure. Pour ce faire, les parties disposent d'autres moyens de droit, tel que le recours (art. 393 al. 1 let. a CPP), ouvert contre les décisions du Ministère public (arrêt du Tribunal fédéral 1B_213/2015 du 22 septembre 2015 consid. 2.2).</w:t>
      </w:r>
    </w:p>
    <w:p>
      <w:r>
        <w:rPr>
          <w:b/>
        </w:rPr>
        <w:t>E. 2.2</w:t>
      </w:r>
    </w:p>
    <w:p>
      <w:r>
        <w:t>En l’espèce, la requérante émet des doutes quant à l’impartialité de la citée dans la mesure où celle-ci lui a refusé la présence de D______ lors de l’audience initialement fixée au 3 février 2021. À teneur de ses écritures contradictoires et confuses, l’on peine à comprendre en quelle qualité la requérante estime que la présence de D______ à ses côtés serait légitime. Il lui appartient, si elle entend contester cette décision, d'agir par la voie du recours, ce qu'elle n'a pas fait. En tout état, il sera souligné qu’en matière pénale, la défense des prévenus – qualité revêtue par la requérante – est réservée aux avocats (art. 127 al. 5 CPP), ce qui n’est pas le cas de D______. En outre, seule la victime – soit le lésé (art. 115 al. 1 CPP) qui, du fait d’une infraction, a subi une atteinte directe à son intégrité physique, psychique ou sexuelle (art. 116 al. 1 CPP) – peut être accompagnée d’une personne de confiance (art. 152 al. 2 CPP), dont le rôle, purement passif, est d’apporter son soutien moral durant toute la procédure (L. MOREILLON/ A. PAREIN-REYMOND, Code de procédure pénale - Petit commentaire, 2ème édition, Bâle 2016, n. 4 ad art. 152). La requérante ne revêt pas ce statut. Enfin, il n’apparait pas que la requérante souhaiterait faire entendre D______ en qualité de témoin au sens des art. 162 ss CPP, l'utilisation de ce terme dans sa requête résultant manifestement d'une erreur. Les reproches formulés par la requérante, à l'évidence infondés, ne sont pas de nature à mettre en doute la partialité de la Procureure.</w:t>
      </w:r>
    </w:p>
    <w:p>
      <w:r>
        <w:rPr>
          <w:b/>
        </w:rPr>
        <w:t>E. 3</w:t>
      </w:r>
    </w:p>
    <w:p>
      <w:r>
        <w:t>La demande de récusation sera donc rejetée.</w:t>
      </w:r>
    </w:p>
    <w:p>
      <w:r>
        <w:t>- 6/7 - PS/4/2021</w:t>
      </w:r>
    </w:p>
    <w:p>
      <w:r>
        <w:rPr>
          <w:b/>
        </w:rPr>
        <w:t>E. 4</w:t>
      </w:r>
    </w:p>
    <w:p>
      <w:r>
        <w:t>En tant qu'elle succombe, la requérante supportera les frais de la procédure (art. 59 al. 4 CPP) fixés en totalité à CHF 900.-.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