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ACPR/239/2019 vom 21. Februar 2019</w:t>
      </w:r>
    </w:p>
    <w:p>
      <w:r>
        <w:t>GE Cour de justice, 2019-02-21, FR</w:t>
      </w:r>
    </w:p>
    <w:p>
      <w:r>
        <w:rPr>
          <w:b/>
        </w:rPr>
        <w:t xml:space="preserve">Quelle: </w:t>
      </w:r>
      <w:r>
        <w:t>https://mcp.opencaselaw.ch/entscheid/ge_gerichte_ACPR_239_2019</w:t>
      </w:r>
    </w:p>
    <w:p>
      <w:r>
        <w:t>FR: GE_GERICHTE ACPR/239/2019 du 21 février 2019</w:t>
      </w:r>
    </w:p>
    <w:p>
      <w:r>
        <w:t>IT: GE_GERICHTE ACPR/239/2019 del 21 febbraio 2019</w:t>
      </w:r>
    </w:p>
    <w:p>
      <w:pPr>
        <w:pStyle w:val="Heading2"/>
      </w:pPr>
      <w:r>
        <w:t>Erwägungen</w:t>
      </w:r>
    </w:p>
    <w:p>
      <w:r>
        <w:rPr>
          <w:b/>
        </w:rPr>
        <w:t>E. 1</w:t>
      </w:r>
    </w:p>
    <w:p>
      <w:r>
        <w:t>Le recours est recevable pour avoir été déposé selon la forme et dans le délai prescrits (art. 385 al. 1 et 396 al. 1 CPP) – la décision querellée ayant été notifiée par pli simple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- 5/8 - P/12859/2018</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De jurisprudence constante, la motivation d'un recours doit être entièrement contenue dans l'acte de recours lui-même et ne saurait dès lors être complétée ou corrigée ultérieurement (arrêt du Tribunal fédéral 1B_183/2012 du 20 novembre 2012 consid. 2). En l'occurrence, le recourant s'est certes vu désigner un nouveau défenseur d'office, mais dans le cadre d'une autre procédure – la P/2______/2017 – dans laquelle il est prévenu et actuellement détenu. Or, il agit ici en qualité de partie plaignante, de sorte que les conditions d'octroi de l'assistance juridique ne sont pas les mêmes. Son recours, rédigé par avocat, est au demeurant suffisamment motivé. Partant, il ne saurait être complété.</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(A. KUHN / Y. JEANNERET (éds), Commentaire romand : Code de procédure pénale suisse, Bâle 2011, n. 9 ad art. 310).</w:t>
      </w:r>
    </w:p>
    <w:p>
      <w:r>
        <w:rPr>
          <w:b/>
        </w:rPr>
        <w:t>E. 4.2</w:t>
      </w:r>
    </w:p>
    <w:p>
      <w:r>
        <w:t>En l'espèce, le recourant se plaint d'avoir été frappé, injurié et menacé par son voisin, C______, à deux reprises le 3 juin 2018. La mère et le beau-père de celui-ci s'étaient mêlés selon lui à la première agression et l'avaient, à cette occasion, frappé également. Il admet avoir riposté pour se défendre. C______ conteste ces faits. C'est A______ qui avait commencé à l'injurier et à le frapper au visage, le jour en question. Il avait lui-même déposé plainte contre le précité. Quant à D______ et E______, ils contestent avoir pris part à la bagarre; ils n'avaient même pas assisté à celle-ci.</w:t>
      </w:r>
    </w:p>
    <w:p>
      <w:r>
        <w:t>- 6/8 - P/12859/2018 Si deux altercations ont bien eu lieu entre le recourant et C______ le 3 juin 2018 – ce que les lésions constatées médicalement sur le recourant semblent corroborer – les circonstances de celles-ci et le rôle de chacun des protagonistes ne sont pas établies, chacun d'eux rejetant la responsabilité sur l'autre. Le témoin contacté par la police a déclaré ne pas avoir assisté à la première bagarre. Il avait seulement vu C______ maîtriser A______ au moment où la police intervenait. Son témoignage n'apportant aucun éclairage sur les agissements de chacun des protagonistes durant l'altercation, on ne voit pas que le Procureur eût dû l'entendre. On ne voit par ailleurs pas quelle autre mesure d'instruction permettrait éventuellement d'établir les faits, le recourant n'en proposant d'ailleurs aucune. Enfin, les faits pour lesquels le recourant a été prévenu dans la P/2______/2017 ont trait à un autre épisode, de sorte qu'il ne saurait en tirer argument pour prétendre que le Procureur menait une instruction exclusivement à charge contre lui. Faute de prévention pénale suffisante à l'égard des mis en cause, la décision querellée n'apparaît ainsi pas critiquable.</w:t>
      </w:r>
    </w:p>
    <w:p>
      <w:r>
        <w:rPr>
          <w:b/>
        </w:rPr>
        <w:t>E. 5</w:t>
      </w:r>
    </w:p>
    <w:p>
      <w:r>
        <w:t>Le recours s'avère par conséquent infondé.</w:t>
      </w:r>
    </w:p>
    <w:p>
      <w:r>
        <w:rPr>
          <w:b/>
        </w:rPr>
        <w:t>E. 6</w:t>
      </w:r>
    </w:p>
    <w:p>
      <w:r>
        <w:t>Le recourant, qui succombe dans toutes ses conclusions, supportera les frais de l'État, qui comprendront un émolument de CHF 900.- (art. 428 al. 1 CPP et 13 al. 1 du Règlement fixant le tarif des frais en matière pénale, RTFMP; E 4 10.03). * * * * *</w:t>
      </w:r>
    </w:p>
    <w:p>
      <w:r>
        <w:t>- 7/8 - P/12859/2018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