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ACPR/238/2023 vom 18. Januar 2023</w:t>
      </w:r>
    </w:p>
    <w:p>
      <w:r>
        <w:t>GE Cour de justice, 2023-01-18, FR</w:t>
      </w:r>
    </w:p>
    <w:p>
      <w:r>
        <w:rPr>
          <w:b/>
        </w:rPr>
        <w:t xml:space="preserve">Quelle: </w:t>
      </w:r>
      <w:r>
        <w:t>https://mcp.opencaselaw.ch/entscheid/ge_gerichte_ACPR_238_2023</w:t>
      </w:r>
    </w:p>
    <w:p>
      <w:r>
        <w:t>FR: GE_GERICHTE ACPR/238/2023 du 18 janvier 2023</w:t>
      </w:r>
    </w:p>
    <w:p>
      <w:r>
        <w:t>IT: GE_GERICHTE ACPR/238/2023 del 18 gennaio 2023</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courriers de la recourante des 7 février et 7 mars 2023, en tant qu'ils énonceraient des éléments de preuve nouveaux à l'appui des faits énoncés dans la plainte pénale, sont également recevables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invoque une violation de son droit d'être entendu.</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p. 41; ATF 136 I 229 consid. 5.2 p. 236; ATF 135 I 265 consid. 4.3 p. 276). L'autorité n'a pas l'obligation d'exposer et de discuter tous les faits, moyens de preuve et griefs invoqués par les parties, mais elle peut au contraire se limiter à ceux qui lui paraissent pertinents. La motivation peut être implicite et résulter des différents considérants de la décision (ATF 143 III 65 consid. 5.3; 142 I 135 consid. 2.1; 141 III 28 consid. 3.2.4; 139 IV 179 consid. 2.2 p. 183; arrêt du Tribunal fédéral 6B_226/2019 du 29 mars 2019 consid. 2.1).</w:t>
      </w:r>
    </w:p>
    <w:p>
      <w:r>
        <w:rPr>
          <w:b/>
        </w:rPr>
        <w:t>E. 3.2</w:t>
      </w:r>
    </w:p>
    <w:p>
      <w:r>
        <w:t>En l'espèce, le Ministère public a considéré que la mise en cause n'avait pas eu l'intention de menacer la recourante, dès lors qu'elle estimait que la créance contestée était fondée. Il ressort de l'argumentation développée par la recourante qu'elle a parfaitement compris la motivation, même succincte, de la décision querellée, de sorte que son grief lié au caractère lacunaire de celle-ci doit être rejeté.</w:t>
      </w:r>
    </w:p>
    <w:p>
      <w:r>
        <w:rPr>
          <w:b/>
        </w:rPr>
        <w:t>E. 4</w:t>
      </w:r>
    </w:p>
    <w:p>
      <w:r>
        <w:t>La recourante reproche au Ministère public de ne pas être entré en matière sur sa plainte.</w:t>
      </w:r>
    </w:p>
    <w:p>
      <w:r>
        <w:t>- 6/11 - P/821/2022</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d'un 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rPr>
          <w:b/>
        </w:rPr>
        <w:t>E. 4.2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w:t>
      </w:r>
    </w:p>
    <w:p>
      <w:r>
        <w:t>- 7/11 - P/821/2022 137 IV 326 consid. 3.3.1 p. 328; 134 IV 216 consid. 4.1 p. 218).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6B_70/2016 du 2 juin 2016 consid. 4.3.4 non publié aux ATF 142 IV 315). Certes, faire notifier un commandement de payer lorsqu'on est fondé à réclamer une somme est licite. En revanche, utiliser un tel procédé comme moyen de pression est clairement abusif, donc illicite (cf. ATF 115 III 18 consid. 3 p. 20 s., 81 consid. 3b p. 87 s.; arrêt 6B_70/2016 précité consid. 4.3.4). Le fondement de la créance invoquée, le montant indiqué sur le commandement de payer et le contexte de sa notification sont autant d'éléments pertinents dans l'appréciation des circonstances du cas d'espèce. S'agissant du fondement de la créance déduite en poursuite, il suffit que la situation juridique ne soit pas d'une clarté indiscutable pour admettre la licéité, sous l'angle de l'infraction de contrainte, du commandement de payer (R. JORDAN, Les poursuites injustifiées: point de situation, in Revue de l'avocat 2017 p. 131 s. et les arrêts cités). Lorsque la victime ne se laisse pas intimider et n'adopte pas le comportement voulu par l'auteur, ce dernier est punissable de tentative de contrainte (art. 22 al. 1 CP; ATF 129 IV 262 consid. 2.7 p. 270; 106 IV 125 consid. 2b p. 129).</w:t>
      </w:r>
    </w:p>
    <w:p>
      <w:r>
        <w:rPr>
          <w:b/>
        </w:rPr>
        <w:t>E. 4.3</w:t>
      </w:r>
    </w:p>
    <w:p>
      <w:r>
        <w:t>En application de ces principes, la notification de trois commandements de payer d'un montant de CHF 910'000.- chacun, ne reposant sur aucune créance valable, notifiés à des dirigeants d'une société avec laquelle l'auteur se trouvait en litige et portant, comme cause de l'obligation, une référence à un courrier du ministère public envoyé dans le cadre d'une procédure pénale, est constitutive d'une tentative de contrainte (arrêt du Tribunal fédéral 6B_8/2017 du 15 août 2017 consid. 2.2). Il en va de même de la notification d'un commandement de payer de plus de CHF 800'000.-, somme qualifiée d'exorbitante par la Chambre pénale d'appel et de révision, ceci plus de 13 ans après les faits et sans démarches judiciaires parallèles (arrêt du Tribunal fédéral 6B_153/2017 du 28 novembre 2017 consid. 3.2.2). Faire l'objet d'un commandement de payer de CHF 176'250.- constitue pour une personne de sensibilité moyenne, une menace d'un dommage sérieux au sens de la jurisprudence (ACPR/468/2018 du 24 août 2018 consid. 3.3). À l'inverse, un commandement de payer portant sur un montant de CHF 44'895.35 n'est pas susceptible, objectivement, de constituer une entrave à la liberté d'action du</w:t>
      </w:r>
    </w:p>
    <w:p>
      <w:r>
        <w:t>- 8/11 - P/821/2022 poursuivi; preuve en étaient ses oppositions et sa demande de non-divulgation des poursuites (ACPR/825/2020 du 17 novembre 2020 consid. 5.6). Le Tribunal fédéral a également confirmé une condamnation pour tentative de contrainte en lien avec un commandement de payer d'un montant de CHF 5'000.- adressé au mandataire professionnel de la partie avec laquelle l'auteur était en conflit, soit une personne contre laquelle il n'était pas fondé à réclamer quoi que ce soit (arrêt du Tribunal fédéral 6B_70/2016 précité consid. 4.4).</w:t>
      </w:r>
    </w:p>
    <w:p>
      <w:r>
        <w:rPr>
          <w:b/>
        </w:rPr>
        <w:t>E. 4.4</w:t>
      </w:r>
    </w:p>
    <w:p>
      <w:r>
        <w:t>En l'espèce, la recourante ne s'est pas laissée intimider par le commandement de payer litigieux, puisqu'elle y a fait opposition et a demandé à l'Office des poursuites de ne pas divulguer la poursuite, si bien que seule une tentative de contrainte (art. 22 al. 1 cum 181 CP) pourrait entrer en considération. Le commandement de payer qui lui a été notifié pour un montant total de CHF 1'768.80 n'est pas susceptible de constituer, objectivement, une entrave à sa liberté d'action, preuve en sont son opposition et sa demande de non-divulgation de poursuite susmentionnées. Le montant réclamé n'atteint pas non plus le seuil jurisprudentiel pour constituer un dommage sérieux. Par ailleurs, les éléments du dossier ne permettent pas de penser que la mise en cause n'eût été de bonne foi, au moment où elle a requis la poursuite de la recourante. En effet, elle a entrepris des démarches afin de vérifier l'existence de la créance, en se procurant, auprès du cédant, la facture libellée au nom de la recourante et la liste des inscriptions sur les plateformes internet "C______.ch" et "D______.ch". Il existe dès lors, sur le plan pénal, un lien suffisant entre la créance invoquée par la mise en cause dans son commandement de payer – sans qu'il n'appartienne aux autorités pénales de décider si ladite créance est fondée ou non, cette question étant de nature civile –, et le montant réclamé, qui est en adéquation avec la somme de la facture du 17 août 2020. S'agissant de l'envoi des courriers préalables à la notification du commandement de payer, il apparaît opportun d'essayer, avant d'entamer une action judiciaire, de régler de manière consensuelle, le différend ouvert. Ainsi, même sous forme d'une sommation, une telle invite ne saurait être considérée comme disproportionnée, bien au contraire. Finalement, les plis des 24 janvier et 22 février 2023 visent une facture du 5 août 2022 et non celle faisant l'objet du commandement de payer litigieux. Quoi qu'il en soit, la recourante, assistée d'un avocat, n'allègue pas qu'elle aurait été particulièrement impressionnée ni tourmentée par le montant en CHF 1'722.40 qui lui est réclamé. Elle conteste d'ailleurs devoir ce montant. Il résulte de ce qui précède que c'est à bon droit que le Ministère public a conclu que les éléments constitutifs de la tentative de contrainte n'étaient pas réalisés.</w:t>
      </w:r>
    </w:p>
    <w:p>
      <w:r>
        <w:t>- 9/11 - P/821/2022</w:t>
      </w:r>
    </w:p>
    <w:p>
      <w:r>
        <w:rPr>
          <w:b/>
        </w:rPr>
        <w:t>E. 5</w:t>
      </w:r>
    </w:p>
    <w:p>
      <w:r>
        <w:t>Justifiée, l'ordonnance querellée sera donc confirmée.</w:t>
      </w:r>
    </w:p>
    <w:p>
      <w:r>
        <w:rPr>
          <w:b/>
        </w:rPr>
        <w:t>E. 6</w:t>
      </w:r>
    </w:p>
    <w:p>
      <w:r>
        <w:t>La recourante, qui succombe, supportera les frais envers l'État, fixés en totalité à CHF 1'200.- (art. 428 al. 1 CPP et 13 al. 1 du Règlement fixant le tarif des frais en matière pénale, RTFMP ; E 4 10.03). * * * * *</w:t>
      </w:r>
    </w:p>
    <w:p>
      <w:r>
        <w:t>- 10/11 - P/821/2022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