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ACPR/238/2022 vom 11. April 2022</w:t>
      </w:r>
    </w:p>
    <w:p>
      <w:r>
        <w:t>GE Cour de justice, 2022-04-11, FR</w:t>
      </w:r>
    </w:p>
    <w:p>
      <w:r>
        <w:rPr>
          <w:b/>
        </w:rPr>
        <w:t xml:space="preserve">Quelle: </w:t>
      </w:r>
      <w:r>
        <w:t>https://mcp.opencaselaw.ch/entscheid/ge_gerichte_ACPR_238_2022</w:t>
      </w:r>
    </w:p>
    <w:p>
      <w:r>
        <w:t>FR: GE_GERICHTE ACPR/238/2022 du 11 avril 2022</w:t>
      </w:r>
    </w:p>
    <w:p>
      <w:r>
        <w:t>IT: GE_GERICHTE ACPR/238/2022 del 11 aprile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plus les charges, s'en rapportant à justice. À raison, celles-ci s'étant aggravées lors de sa mise en prévention pour les faits du 12 novembre 2021, qu'il a reconnu. Il n'y a pas à s'attarder sur cette question.</w:t>
      </w:r>
    </w:p>
    <w:p>
      <w:r>
        <w:rPr>
          <w:b/>
        </w:rPr>
        <w:t>E. 3</w:t>
      </w:r>
    </w:p>
    <w:p>
      <w:r>
        <w:t>Le recourant conteste le risque de réitération.</w:t>
      </w:r>
    </w:p>
    <w:p>
      <w:r>
        <w:rPr>
          <w:b/>
        </w:rPr>
        <w:t>E. 3.1</w:t>
      </w:r>
    </w:p>
    <w:p>
      <w:r>
        <w:t>et 1B_455/2016 du 9 décembre 2016 consid. 3.1. ; Y. JEANNERET / A. KUHN / C. PERRIER DEPEURSINGE (éds), Commentaire romand : Code de procédure pénale suisse, 2e éd., Bâle 2019, n°24 ad. 221). S'agissant des infractions contre le patrimoine, si celles-ci perturbent la vie en société en portant atteinte à la propriété, le cas échéant de manière violente, elles ne mettent cependant pas systématiquement en danger l'intégrité physique ou psychique des victimes. En présence de telles infractions, une détention n'est ainsi justifiée à raison du risque de récidive que lorsque l'on est en présence d'infractions particulièrement graves (ATF 146 IV 136).</w:t>
      </w:r>
    </w:p>
    <w:p>
      <w:r>
        <w:rPr>
          <w:b/>
        </w:rPr>
        <w:t>E. 3.2</w:t>
      </w:r>
    </w:p>
    <w:p>
      <w:r>
        <w:t>En l'espèce, quoi qu'en dise le recourant, le risque de réitération est concret. Le recourant paraît s'être prêté sans difficulté à des infractions qui avaient pour seule fin de lui procurer de l'argent par la revente de drogue et pour lesquelles l'usage d'arme, même factice ou à blanc, dénote, qu'il le veuille ou non, une tendance marquée à la contrainte d'autrui. La succession de ces infractions à moins de deux semaines d'intervalle relève du même processus: identifier et gagner la confiance de la victime, commander ensuite une quantité plus importante de drogue et se rendre, accompagner d'un comparse, voire de deux, de jour et ensuite dans la soirée, avec une arme, d'abord factice et ensuite à bille, auprès de la victime qu'ils n'ont pas hésité à frapper la seconde fois. Cela dénote un perfectionnement dans le processus de mise au point du plan qui ne permet pas de penser que le prévenu aurait cessé de lui-même ses comportements violents. Ces faits ne se résument ainsi pas à une atteinte au patrimoine, mais touchent aussi de façon prépondérante à la liberté et à l'intégrité d'autrui; que les victimes soient également prévenues de trafic de stupéfiants n'est à l'évidence pas pertinent. On ne voit pas quelle mesure de substitution permettrait de se convaincre que le recourant ne se livrerait plus à de tels actes, s'il était libéré. Il a agi par cupidité et l'on ne voit pas que ce besoin d'argent serait comblé par une activité professionnelle, le recourant voulant reprendre une formation, non rémunérée. Les regrets formulés par le recourant apparaissent de circonstances, lui qui minimise son implication – alors qu'il est le seul à avoir commis les deux atteintes reprochées – et refuse toujours de fournir le nom de son comparse du 12 novembre 2021. La Chambre de céans ne voit pas en quoi un traitement thérapeutique, une interdiction de consommer des stupéfiants et une formation non rémunérée</w:t>
      </w:r>
    </w:p>
    <w:p>
      <w:r>
        <w:t>- 11/14 - P/22808/2021 permettraient de réfréner ses velléités de se procurer de l'argent et la procédure ne fait pas apparaître que les actes reprochés soient liés à une pathologie ou à une addiction. Aucune mesure de substitution n'entre en considération pour pallier ce risque de réitération.</w:t>
      </w:r>
    </w:p>
    <w:p>
      <w:r>
        <w:rPr>
          <w:b/>
        </w:rPr>
        <w:t>E. 4</w:t>
      </w:r>
    </w:p>
    <w:p>
      <w:r>
        <w:t>Le recourant conteste le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132 I 21 consid. 3.2; 128 I 149 consid. 2.1; 123 I 31 consid. 3c et les références).</w:t>
      </w:r>
    </w:p>
    <w:p>
      <w:r>
        <w:rPr>
          <w:b/>
        </w:rPr>
        <w:t>E. 4.2</w:t>
      </w:r>
    </w:p>
    <w:p>
      <w:r>
        <w:t>En l'occurrence, si certes le Procureur a annoncé qu'il allait clore la procédure, les parties pourront encore demander des actes d'instruction avant jugement et éventuellement des confrontations – ce d'autant que leurs déclarations ont évolué au cours des audiences –, lors desquelles les parties ne devraient pas avoir pu s'entendre sur ce qu'elles allaient encore dire. Il y a également lieu de retenir que l'enquête n'a pas encore permis d'identifier son comparse du 12 novembre 2021. Aucune mesure de substitution ne permet de pallier ce risque.</w:t>
      </w:r>
    </w:p>
    <w:p>
      <w:r>
        <w:rPr>
          <w:b/>
        </w:rPr>
        <w:t>E. 5</w:t>
      </w:r>
    </w:p>
    <w:p>
      <w:r>
        <w:t>Ces risques étant suffisants, il n'est pas nécessaire d'examiner celui de fuite également retenu par le TMC.</w:t>
      </w:r>
    </w:p>
    <w:p>
      <w:r>
        <w:rPr>
          <w:b/>
        </w:rPr>
        <w:t>E. 6</w:t>
      </w:r>
    </w:p>
    <w:p>
      <w:r>
        <w:t>L'ordonnance querellée sera dès lors confirmée.</w:t>
      </w:r>
    </w:p>
    <w:p>
      <w:r>
        <w:rPr>
          <w:b/>
        </w:rPr>
        <w:t>E. 7</w:t>
      </w:r>
    </w:p>
    <w:p>
      <w:r>
        <w:t>Le recourant, qui n'a pas gain de cause, assumera les frais de la procédure de recours, qui comprennent un émolument de CHF 900.- (art. 428 al. 1 CPP et 13 al. 1 du Règlement fixant le tarif des frais en matière pénale, RTFMP; E 4 10.03).</w:t>
      </w:r>
    </w:p>
    <w:p>
      <w:r>
        <w:t>- 12/14 - P/22808/2021</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8.2</w:t>
      </w:r>
    </w:p>
    <w:p>
      <w:r>
        <w:t>En l'occurrence, le recourant soulève dans son recours en substance les mêmes griefs que ceux de son précédent recours, lesquels avaient été rejetés, dans un arrêt du 10 décembre 2021. Pareilles contestations doivent être considérées comme d'emblée vouées à l'échec. Dès lors, la prise en charge des honoraires de son défenseur d'office sera refusée. * * * * *</w:t>
      </w:r>
    </w:p>
    <w:p>
      <w:r>
        <w:t>- 13/14 - P/22808/2021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