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ACPR/237/2024 vom 30. Januar 2024</w:t>
      </w:r>
    </w:p>
    <w:p>
      <w:r>
        <w:t>GE Cour de justice, 2024-01-30, FR</w:t>
      </w:r>
    </w:p>
    <w:p>
      <w:r>
        <w:rPr>
          <w:b/>
        </w:rPr>
        <w:t xml:space="preserve">Quelle: </w:t>
      </w:r>
      <w:r>
        <w:t>https://mcp.opencaselaw.ch/entscheid/ge_gerichte_ACPR_237_2024</w:t>
      </w:r>
    </w:p>
    <w:p>
      <w:r>
        <w:t>FR: GE_GERICHTE ACPR/237/2024 du 30 janvier 2024</w:t>
      </w:r>
    </w:p>
    <w:p>
      <w:r>
        <w:t>IT: GE_GERICHTE ACPR/237/2024 del 30 gennaio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une constatation erronée des faits (art. 393 al. 2 let. b CPP). Dès lors que la Chambre de céans jouit d'un plein pouvoir de cognition en droit et en fait (art. 393 al. 2 CPP; ATF 137 I 195 consid. 2.3.2 ; arrêt du Tribunal fédéral 1B_524/2012 du 15 novembre 2012 consid. 2.1), les éventuelles</w:t>
      </w:r>
    </w:p>
    <w:p>
      <w:r>
        <w:t>- 5/8 - P/9691/2021 constatations incomplètes ou inexactes du Tribunal de police auront été corrigées dans l'état de fait établi ci-devant. Partant, ce grief sera rejeté.</w:t>
      </w:r>
    </w:p>
    <w:p>
      <w:r>
        <w:rPr>
          <w:b/>
        </w:rPr>
        <w:t>E. 3</w:t>
      </w:r>
    </w:p>
    <w:p>
      <w:r>
        <w:t>al. 2 let. a et b CPP, selon lequel les autorités pénales se conforment notamment au principe de la bonne foi et à l'interdiction de l'abus de droit (ATF 142 I 10 consid. 2.4.2).</w:t>
      </w:r>
    </w:p>
    <w:p>
      <w:r>
        <w:rPr>
          <w:b/>
        </w:rPr>
        <w:t>E. 3.1</w:t>
      </w:r>
    </w:p>
    <w:p>
      <w:r>
        <w:t>Aux termes de l'art. 87 al. 1 CPP, toute communication doit être notifiée au domicile, au lieu de résidence habituelle ou au siège du destinataire.</w:t>
      </w:r>
    </w:p>
    <w:p>
      <w:r>
        <w:t>La notification irrégulière d'une décision ne doit entraîner aucun préjudice pour les parties (arrêt du Tribunal fédéral 6B_264/2014 du 8 juillet 2014 consid. 2.1). En principe, tant que l'acte n'a pas été notifié au destinataire, il est sans effet; les délais ne commencent pas à courir et on ne peut, par conséquent, pas reprocher à un justiciable d'avoir omis de respecter un délai (ATF 142 IV consid. 2.4). Le délai de recours ne commence à courir qu'au moment où la partie a pu prendre connaissance de la décision, dans son dispositif et ses motifs (ATF 139 IV 228 consid. 1.3).</w:t>
      </w:r>
    </w:p>
    <w:p>
      <w:r>
        <w:t>La partie concernée ne peut cependant pas retarder ce moment selon son bon plaisir; en vertu du principe de la bonne foi, elle est tenue de se renseigner sur l'existence et le contenu de la décision dès qu'elle peut en soupçonner l'existence, à défaut de quoi elle risque de se faire opposer l'irrecevabilité de son recours pour cause de tardiveté (ATF 139 IV 228 consid. 1.3; arrêt du Tribunal fédéral 6B_552/2015 du 3 août 2016 consid. 2.3 et 2.5).</w:t>
      </w:r>
    </w:p>
    <w:p>
      <w:r>
        <w:rPr>
          <w:b/>
        </w:rPr>
        <w:t>E. 3.2</w:t>
      </w:r>
    </w:p>
    <w:p>
      <w:r>
        <w:t>Selon l'art. 356 al. 2 CPP, le tribunal de première instance statue sur la validité de l'opposition formée à une ordonnance pénale.</w:t>
      </w:r>
    </w:p>
    <w:p>
      <w:r>
        <w:t>À teneur de l'art. 354 al. 1 CPP, l'opposition doit être formée par écrit et dans les dix jours. Si aucune opposition n'est valablement formée, l'ordonnance pénale est assimilée à un jugement entré en force (al. 3).</w:t>
      </w:r>
    </w:p>
    <w:p>
      <w:r>
        <w:t>Pour être valable, cette opposition doit être déposée, au plus tard, le dernier jour du délai à la Poste suisse (art. 91 al. 2 CPP). Dans le cas où la loi exige une transmission écrite – comme pour l'opposition à une ordonnance pénale –, l'acte en cause doit être daté et signé (art. 110 al. 1 CPP; ATF 145 IV 190 consid. 1.3.2).</w:t>
      </w:r>
    </w:p>
    <w:p>
      <w:r>
        <w:t>À Genève, en matière pénale, seul un avocat est autorisé à assister – et donc représenter – une partie en justice (art. 127 cum 18a LaCP; ACPR/158/2024 du 1er mars 2024 consid. 1.2).</w:t>
      </w:r>
    </w:p>
    <w:p>
      <w:r>
        <w:rPr>
          <w:b/>
        </w:rPr>
        <w:t>E. 3.3</w:t>
      </w:r>
    </w:p>
    <w:p>
      <w:r>
        <w:t>L'art. 29 al. 1 Cst. interdit le formalisme excessif en tant que forme particulière du déni de justice. Un tel déni de justice existe lorsqu'une procédure est soumise à des règles de forme rigoureuses sans que cette rigueur ne soit objectivement justifiée, lorsque l'autorité interprète des prescriptions de forme de manière exagérément</w:t>
      </w:r>
    </w:p>
    <w:p>
      <w:r>
        <w:t>- 6/8 - P/9691/2021 stricte, qu'elle soumet des actes juridiques à des exigences démesurées ou qu'elle entrave de manière inadmissible l'accès des justiciables aux tribunaux. Des règles de procédure sont bel et bien indispensables en matière judiciaire, pour garantir le bon déroulement et l'équité de la procédure ainsi que l'application du droit matériel. Toutes les exigences procédurales n'entrent ainsi pas en contradiction avec l'art. 29 al. 1 Cst.. Il n'y a formalisme excessif que si l'application stricte des prescriptions de forme n'est justifiée par aucun intérêt digne de protection, mais constitue une fin en soi et complique de manière inacceptable, voire empêche la mise en œuvre du droit matériel. En procédure pénale, l'interdiction du formalisme excessif résulte de l'art.</w:t>
      </w:r>
    </w:p>
    <w:p>
      <w:r>
        <w:rPr>
          <w:b/>
        </w:rPr>
        <w:t>E. 3.4</w:t>
      </w:r>
    </w:p>
    <w:p>
      <w:r>
        <w:t>L'irrecevabilité sanctionnant un défaut de procuration valable n'est pas constitutive d'un formalisme excessif prohibé (ATF 149 IV 9 consid. 4.3).</w:t>
      </w:r>
    </w:p>
    <w:p>
      <w:r>
        <w:rPr>
          <w:b/>
        </w:rPr>
        <w:t>E. 3.5</w:t>
      </w:r>
    </w:p>
    <w:p>
      <w:r>
        <w:t>En l'espèce, l'ordonnance pénale du 23 mai 2023 n'a pas été expédiée au domicile du recourant. Cela étant, il ressort du suivi postal de l'envoi du pli recommandé et de l'avis de réception de la poste suisse – comportant une signature de l'intéressé – que la décision a été reçue le 17 juin 2023. La mention manuscrite "signé le 19/06/2023" figurant au dos de l'enveloppe n'est pas de nature à modifier ce constat. L'erreur de saisie dans le système invoquée par le recourant ne repose que sur une hypothèse, de sorte qu'elle n'est nullement rendue vraisemblable. Dans ces conditions, il n'y a pas lieu de s'écarter de la date de distribution inscrite dans le suivi des envois.</w:t>
      </w:r>
    </w:p>
    <w:p>
      <w:r>
        <w:t>La première opposition – intervenue le 27 juin 2023 – ne répond pas aux exigences de forme prescrites par les art. 110 et 354 CPP, dans la mesure où elle a été formée par une personne non autorisée à représenter une partie en matière pénale. Elle est dès lors irrecevable. Il en va de même de la seconde, dès lors que – formée le 29 juin 2023 – elle était tardive.</w:t>
      </w:r>
    </w:p>
    <w:p>
      <w:r>
        <w:rPr>
          <w:b/>
        </w:rPr>
        <w:t>E. 4</w:t>
      </w:r>
    </w:p>
    <w:p>
      <w:r>
        <w:t>Justifiée, l'ordonnance querellée sera donc confirmée.</w:t>
      </w:r>
    </w:p>
    <w:p>
      <w:r>
        <w:rPr>
          <w:b/>
        </w:rPr>
        <w:t>E. 5</w:t>
      </w:r>
    </w:p>
    <w:p>
      <w:r>
        <w:t>Le recourant, qui succombe, supportera les frais envers l'État, fixés en totalité à CHF 700.- (art. 428 al. 1 CPP et 13 al. 1 du Règlement fixant le tarif des frais en matière pénale, RTFMP ; E 4 10.03).</w:t>
      </w:r>
    </w:p>
    <w:p>
      <w:r>
        <w:t>* * * * *</w:t>
      </w:r>
    </w:p>
    <w:p>
      <w:r>
        <w:t>- 7/8 - P/9691/2021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