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ACPR/236/2022 vom 27. September 2021</w:t>
      </w:r>
    </w:p>
    <w:p>
      <w:r>
        <w:t>GE Cour de justice, 2021-09-27, FR</w:t>
      </w:r>
    </w:p>
    <w:p>
      <w:r>
        <w:rPr>
          <w:b/>
        </w:rPr>
        <w:t xml:space="preserve">Quelle: </w:t>
      </w:r>
      <w:r>
        <w:t>https://mcp.opencaselaw.ch/entscheid/ge_gerichte_ACPR_236_2022</w:t>
      </w:r>
    </w:p>
    <w:p>
      <w:r>
        <w:t>FR: GE_GERICHTE ACPR/236/2022 du 27 septembre 2021</w:t>
      </w:r>
    </w:p>
    <w:p>
      <w:r>
        <w:t>IT: GE_GERICHTE ACPR/236/2022 del 27 settembre 2021</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 En l'espèce, le recours est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du condamné visé par la décision querellée, qui a a priori un intérêt juridiquement protégé à son annulation (art. 382 al. 1 CPP).</w:t>
      </w:r>
    </w:p>
    <w:p>
      <w:r>
        <w:rPr>
          <w:b/>
        </w:rPr>
        <w:t>E. 1.2</w:t>
      </w:r>
    </w:p>
    <w:p>
      <w:r>
        <w:t>La procédure devant la Chambre de céans est régie par le CPP, applicable au titre de droit cantonal supplétif (art. 42 al. 2 LaCP).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66a al. 1 let. o CP, le juge expulse de Suisse l'étranger qui est condamné pour infraction à l'art. 19 al. 2 ou 20 al. 2 LStup, quelle que soit la quotité de la peine prononcée à son encontre, pour une durée de cinq à quinze ans. Lorsqu'une personne contre qui une expulsion a été ordonnée commet une nouvelle infraction remplissant les conditions d'une expulsion au sens de l'art. 66a CP, une nouvelle expulsion est prononcée pour une durée de vingt ans (art. 66b al. 1 CP). L'expulsion peut être prononcée à vie si le nouvel acte a été commis alors que la première expulsion avait encore effet (art. 66b al. 2 CP).</w:t>
      </w:r>
    </w:p>
    <w:p>
      <w:r>
        <w:t>- 4/8 - PS/17/2022</w:t>
      </w:r>
    </w:p>
    <w:p>
      <w:r>
        <w:rPr>
          <w:b/>
        </w:rPr>
        <w:t>E. 3.2</w:t>
      </w:r>
    </w:p>
    <w:p>
      <w:r>
        <w:t>Selon l'art. 66d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Dans un arrêt 6B_422/2021 du 1er septembre 2021, le Tribunal fédéral a statué que cette disposition réserve la possibilité d'un ultime contrôle, dans un cadre strictement délimité, afin d'éviter que l'expulsion dont le prononcé est entré en force ne soit exécutée au mépris du principe de non-refoulement ou d'une autre règle impérative du droit international. Il appartient au juge de l'expulsion d'examiner si les conditions de la clause dite "de rigueur" de l'art. 66a al. 2 CP sont réalisées et de renoncer à ordonner l'expulsion dans cette hypothèse. La loi ne définissant pas ce qui constitue une "situation personnelle grave", il convient de se référer aux critères qui président à l'octroi d'une autorisation de séjour dans les cas d'extrême gravité (cf. art. 31 OASA; ATF 144 IV 332 consid. 3.3.1 p. 340 s.).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l'État de provenance. À cette liste non exhaustive s'ajoutent, dans l'optique pénale, les perspectives de réinsertion sociale du condamné (cf. arrêt ATF 144 IV 332 consid. 3.3.3 p. 341 s.). Par ailleurs, une situation personnelle grave, ou une violation de l'art. 8 CEDH, peut aussi résulter d'une expulsion ordonnée malgré un état de santé déficient, en fonction des prestations médicales à disposition dans l'État d'origine et des conséquences négatives que cela peut engendrer pour la personne concernée (ATF 145 IV 455 consid. 9.1 p. 459).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6B_818/2020 du 19 janvier 2021 consid. 6.1; 6B_397/2020 du 24 juillet 2020 consid. 6.1; 6B_344/2020 du 9 juillet 2020 consid. 3.1).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l'art. 66d al. 1 CP (arrêt 6B_747/2019 du 24 juin</w:t>
      </w:r>
    </w:p>
    <w:p>
      <w:r>
        <w:t>- 5/8 - PS/17/2022 2020 consid. 2.1.2; cf. BUSSLINGER/UEBERSAX, Härtefallklausel und migrationsrechtliche Auswirkungen der Landesverweisung, Plädoyer 5/16 p. 99). Savoir si l'expulsion est conforme aux obligations découlant pour la Suisse de l'Accord sur la libre circulation des personnes (en particulier au regard de l'art. 5 Annexe I) constitue enfin un point qui doit également être examiné au stade du prononcé de l'expulsion déjà, mais indépendamment de l'exigence du cas de rigueur (arrêts 6B_1146/2018 du 8 novembre 2019 consid. 6 ss; 6B_907/2018 du 23 novembre 2018 consid. 2.4.2 s.; UEBERSAX/ERRASS ET AL., Migrationsrecht in a nutshell, 2021, p. 197; BUSSLINGER/UEBERSAX, op. cit., p. 100; v. aussi VALERIO PRIULI, in Kommentar Migrationsrecht, 5e éd. 2019, no 19 ad art. 5 Annexe I ALCP) (consid. 1.4.5).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d'une demande de report de l'expulsion au sens de l'art. 66d CP. La personne dont la décision d'expulsion est entrée en force n'a, dans cette mesure, pas d'intérêt à recourir contre une simple décision de mise en œuvre de son expulsion (consid. 1.4.6).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Il incombe au recourant, pour justifier son intérêt juridique au recours, de rendre vraisemblable au moins prima facie que les circonstances déterminantes se sont modifiées si profondément depuis le prononcé du jugement qu'il s'imposerait exceptionnellement de reconnaître l'existence de considérations humanitaires impérieuses exigeant désormais de renoncer à exécuter l'expulsion (consid. 1.4.8).</w:t>
      </w:r>
    </w:p>
    <w:p>
      <w:r>
        <w:rPr>
          <w:b/>
        </w:rPr>
        <w:t>E. 3.3</w:t>
      </w:r>
    </w:p>
    <w:p>
      <w:r>
        <w:t>En l'espèce, le recourant s'oppose à l'exécution de son expulsion au motif qu'il risquait de mourir s'il était renvoyé vers le Nigéria. Il ne disposerait en outre d'aucune attache dans ce pays.</w:t>
      </w:r>
    </w:p>
    <w:p>
      <w:r>
        <w:t>Tout d'abord, le recourant a retiré l'appel qu'il avait formé contre le jugement prononçant son expulsion judiciaire. Il ne prétend pas que les garanties qu'il invoque n'auraient pas été examinées par le juge de l'expulsion.</w:t>
      </w:r>
    </w:p>
    <w:p>
      <w:r>
        <w:t>- 6/8 - PS/17/2022</w:t>
      </w:r>
    </w:p>
    <w:p>
      <w:r>
        <w:t>Dans son jugement, le Tribunal correctionnel a mentionné que le prévenu ne disposait d'aucune autorisation de travailler en Suisse, n'ayant d'ailleurs même pas le droit d'y venir ou d'y séjourner, compte tenu de son absence de document d'identité. Il n'avait pas de famille en Suisse mais une sœur au Cameroun. Il a statué que l'infraction grave à la Loi fédérale sur les stupéfiants commise relevait de l'expulsion obligatoire; les conditions du cas de rigueur de l'art. 66a al. 2 CP n'étaient pas réalisées, ni même n'avaient été plaidées.</w:t>
      </w:r>
    </w:p>
    <w:p>
      <w:r>
        <w:t>Le recourant ne rend pas vraisemblable une modification des circonstances depuis le prononcé – relativement récent – dudit jugement, de sorte que son intérêt juridique à recourir fait défaut.</w:t>
      </w:r>
    </w:p>
    <w:p>
      <w:r>
        <w:t>Partant, le recours est irrecevable.</w:t>
      </w:r>
    </w:p>
    <w:p>
      <w:r>
        <w:t>Quand bien même le serait-il qu'il devrait de toute manière être rejeté au fond.</w:t>
      </w:r>
    </w:p>
    <w:p>
      <w:r>
        <w:t>En effet, le recourant – qui ne bénéficie pas du statut de réfugié – ne rend nullement vraisemblable un risque de traitements prohibés par l'art. 3 CEDH en cas de renvoi au Nigéria.</w:t>
      </w:r>
    </w:p>
    <w:p>
      <w:r>
        <w:rPr>
          <w:b/>
        </w:rPr>
        <w:t>E. 4</w:t>
      </w:r>
    </w:p>
    <w:p>
      <w:r>
        <w:t>Le recourant succombe dans ses conclusions. Il supportera les frais de la procédure de recours (art. 428 al. 1 CPP), qui seront fixés en totalité à CHF 600.- (art. 13 al. 1 du Règlement fixant le tarif des frais en matière pénale, RTFMP; E 4 10.03). * * * * *</w:t>
      </w:r>
    </w:p>
    <w:p>
      <w:r>
        <w:t>- 7/8 - PS/17/2022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