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ACPR/235/2019 vom 24. Januar 2019</w:t>
      </w:r>
    </w:p>
    <w:p>
      <w:r>
        <w:t>GE Cour de justice, 2019-01-24, FR</w:t>
      </w:r>
    </w:p>
    <w:p>
      <w:r>
        <w:rPr>
          <w:b/>
        </w:rPr>
        <w:t xml:space="preserve">Quelle: </w:t>
      </w:r>
      <w:r>
        <w:t>https://mcp.opencaselaw.ch/entscheid/ge_gerichte_ACPR_235_2019</w:t>
      </w:r>
    </w:p>
    <w:p>
      <w:r>
        <w:t>FR: GE_GERICHTE ACPR/235/2019 du 24 janvier 2019</w:t>
      </w:r>
    </w:p>
    <w:p>
      <w:r>
        <w:t>IT: GE_GERICHTE ACPR/235/2019 del 24 gennaio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– faute de notification conforme à l'art. 85 al. 2 CPP – (art. 385 al. 1 et 396 al. 1 CPP), concerner une décision sujette à recours auprès de la Chambre de céans (art. 393 al. 1 let. a CPP) et émaner du prévenu qui, partie à la procédure (art. 104 al. 1 let. a CPP), a qualité pour agir, ayant un intérêt juridiquement protégé à la modification ou à l'annulation de la décision querellée (art. 382 al. 1 CPP).</w:t>
      </w:r>
    </w:p>
    <w:p>
      <w:r>
        <w:rPr>
          <w:b/>
        </w:rPr>
        <w:t>E. 2.1</w:t>
      </w:r>
    </w:p>
    <w:p>
      <w:r>
        <w:t>Dans son arrêt ACPR/777/2016 du 13 novembre 2017, la Chambre de céans a retenu que même si les fonds saisis sur un prévenu devaient être confisqués parce qu'ils provenaient d'une infraction, la levée du séquestre à titre humanitaire d'une somme – en l'occurrence CHF 100.- – représentant 3 % du total des sommes séquestrées, n'apparaissait ni excessive ni contraire au principe de la proportionnalité. Si le Ministère public n'avait, certes, pas d'obligation découlant de l'art. 12 Cst. à l'égard d'un détenu sans famille ou proches en Suisse, et disposait d'un large pouvoir d'appréciation à l'égard d'une demande de levée de séquestre pour raisons humanitaires, il était usuel de débloquer une modique somme à ce titre, lorsque le séquestre portait sur des valeurs à confisquer – par opposition à des valeurs à restituer à des tiers ou parties plaignantes –. Il apparaissait en outre discutable de ne pas débloquer quelques dizaines de francs pour assurer à une personne qui entrait en détention l'achat de biens de première nécessité, alors qu'il était par ailleurs admis que l'on pût, dans certains cas, lever partiellement des valeurs séquestrées – produit d'infractions – pour payer les honoraires d'avocat d'un prévenu (ACPR/360/2013 du 23 juillet 2013 ; cf. aussi ACPR/487/2017 portant sur un véhicule).</w:t>
      </w:r>
    </w:p>
    <w:p>
      <w:r>
        <w:rPr>
          <w:b/>
        </w:rPr>
        <w:t>E. 2.2</w:t>
      </w:r>
    </w:p>
    <w:p>
      <w:r>
        <w:t>En l'espèce, les valeurs saisies, que le Ministère public soupçonne provenir du trafic de stupéfiants reproché au recourant, s'élèvent à environ CHF 500.-. Dans la mesure où leur restitution à des tiers ou parties à la procédure n'est pas sollicitée – leur confiscation étant requise pour qu'elles soient affectées au paiement partiel des frais de la procédure –, la levée du séquestre sera admise, conformément aux principes précités, à hauteur de CHF 50.-, pour tenir compte de la valeur totale des fonds saisis.</w:t>
      </w:r>
    </w:p>
    <w:p>
      <w:r>
        <w:rPr>
          <w:b/>
        </w:rPr>
        <w:t>E. 3</w:t>
      </w:r>
    </w:p>
    <w:p>
      <w:r>
        <w:t>Le recours sera ainsi partiellement admis, la décision querellée annulée et la levée partielle du séquestre accordée à concurrence de CHF 50.-.</w:t>
      </w:r>
    </w:p>
    <w:p>
      <w:r>
        <w:t>- 4/4 - P/714/2019</w:t>
      </w:r>
    </w:p>
    <w:p>
      <w:r>
        <w:rPr>
          <w:b/>
        </w:rPr>
        <w:t>E. 4</w:t>
      </w:r>
    </w:p>
    <w:p>
      <w:r>
        <w:t>L'admission du recours ne donne pas lieu à la perception de frais (art. 428 al. 1 CPP).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