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ACPR/235/2018 vom 6. November 2017</w:t>
      </w:r>
    </w:p>
    <w:p>
      <w:r>
        <w:t>GE Cour de justice, 2017-11-06, FR</w:t>
      </w:r>
    </w:p>
    <w:p>
      <w:r>
        <w:rPr>
          <w:b/>
        </w:rPr>
        <w:t xml:space="preserve">Quelle: </w:t>
      </w:r>
      <w:r>
        <w:t>https://mcp.opencaselaw.ch/entscheid/ge_gerichte_ACPR_235_2018</w:t>
      </w:r>
    </w:p>
    <w:p>
      <w:r>
        <w:t>FR: GE_GERICHTE ACPR/235/2018 du 6 novembre 2017</w:t>
      </w:r>
    </w:p>
    <w:p>
      <w:r>
        <w:t>IT: GE_GERICHTE ACPR/235/2018 del 6 novembre 2017</w:t>
      </w:r>
    </w:p>
    <w:p>
      <w:pPr>
        <w:pStyle w:val="Heading2"/>
      </w:pPr>
      <w:r>
        <w:t>Erwägungen</w:t>
      </w:r>
    </w:p>
    <w:p>
      <w:r>
        <w:rPr>
          <w:b/>
        </w:rPr>
        <w:t>E. 1.1</w:t>
      </w:r>
    </w:p>
    <w:p>
      <w:r>
        <w:t>Le recours a été déposé selon la forme requise (art. 385 al. 1 et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1.2</w:t>
      </w:r>
    </w:p>
    <w:p>
      <w:r>
        <w:t>L'ordonnance querellée ayant été notifiée par pli simple – et non par pli recommandé comme le requiert l'art. 85 al. 2 CPP –, la présomption de notification de l'art. 85 al. 4 let. a CPP ne s'applique pas. Partant, il faut retenir, comme la recourante, que la décision lui a été notifiée par courriel du 14 novembre 2017, de sorte que, déposé dans le délai de dix jours (art. 396 al. 1 CPP), le recours est recevable.</w:t>
      </w:r>
    </w:p>
    <w:p>
      <w:r>
        <w:t>- 5/8 - P/17737/2017</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retenu un empêchement de procéder.</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imposent de renoncer à l'ouverture d'une poursuite pénale (let. c). Une décision de non-entrée en matière peut également se justifier lorsque les charges sont manifestement insuffisantes et si aucun acte d'enquête ne paraît pouvoir amener des éléments utiles à la poursuite.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L'autorité doit clore le procès par une décision procédurale, notamment une ordonnance de non-entrée en matière (art. 310 al. 1 let. b CPP; G. PIQUEREZ / A. MACALUSO, Procédure pénale suisse, 3è éd., 2011, p. 537 n. 1553 et 1555). Dans son résultat, la non-entrée en matière ne se distingue pas fondamentalement d'une suspension de la procédure puisque selon l'art. 323 al. 1 CPP (applicable par renvoi de l'art. 310 al. 2 CPP), la procédure pourra être reprise en cas de moyens de preuve ou de faits nouveaux (arrêt du Tribunal fédéral 1B_67/2012 précité).</w:t>
      </w:r>
    </w:p>
    <w:p>
      <w:r>
        <w:rPr>
          <w:b/>
        </w:rPr>
        <w:t>E. 3.2</w:t>
      </w:r>
    </w:p>
    <w:p>
      <w:r>
        <w:t>En l'espèce, dans son ordonnance querellée, le Ministère public n'a pas qualifié juridiquement le comportement dénoncé, soit le harcèlement, ni précisé s'il tenait l'infraction retenue pour suffisamment établie sur la base de la plainte pénale. Or, le harcèlement téléphonique allégué par la recourante dans sa plainte, et attesté par les pièces produites en annexe à celle-ci, concerne la contravention visée par l'art. 179septies CP, soit une utilisation abusive d'une installation de télécommunication.</w:t>
      </w:r>
    </w:p>
    <w:p>
      <w:r>
        <w:t>- 6/8 - P/17737/2017 L'épisode du 26 août 2017, au cours duquel le mis en cause l'aurait importunée dans le train et serait descendu au même arrêt qu'elle, à la gare ______, n'est pas constitutif, à lui seul, d'une contrainte (art. 181 CP), étant précisé que la recourante n'allègue pas que l'intéressé aurait été sous le coup d'une mesure d'éloignement. Par ailleurs, les autorités de poursuites pénales suisses ne sont pas territorialement compétentes pour instruire les faits survenus en D______. Dans sa plainte, la recourante n'a ni allégué ni rendu vraisemblable avoir été harcelée "sexuellement" par le mis en cause. Elle ne l'a évoqué, pour la première fois, que dans sa lettre du 13 novembre 2017 – ultérieure à l'ordonnance querellée – sans toutefois apporter aucun élément probant. La recourante semble, dans son recours, faire allusion à des faits intervenus au sein de C______ entre janvier et mai 2017, qui, n'ayant pas été soumis au Ministère public, sont irrecevables ici. Ainsi, et indépendamment de la question de savoir si le mis en cause bénéficie ou non d'une immunité diplomatique totale, c'est à juste titre que le Ministère public a décidé de ne pas entrer en matière. Le mis en cause n'étant, depuis fin août 2017, plus domicilié en Suisse, mais au G______, son audition par commission rogatoire apparaît largement disproportionnée compte tenu des faits rendus vraisemblables par la plaignante dans sa plainte pénale, qui ne concernent, en l'état, qu'une simple contravention.</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r>
        <w:t>- 7/8 - P/17737/2017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