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ACPR/234/2022 vom 29. Oktober 2021</w:t>
      </w:r>
    </w:p>
    <w:p>
      <w:r>
        <w:t>GE Cour de justice, 2021-10-29, FR</w:t>
      </w:r>
    </w:p>
    <w:p>
      <w:r>
        <w:rPr>
          <w:b/>
        </w:rPr>
        <w:t xml:space="preserve">Quelle: </w:t>
      </w:r>
      <w:r>
        <w:t>https://mcp.opencaselaw.ch/entscheid/ge_gerichte_ACPR_234_2022</w:t>
      </w:r>
    </w:p>
    <w:p>
      <w:r>
        <w:t>FR: GE_GERICHTE ACPR/234/2022 du 29 octobre 2021</w:t>
      </w:r>
    </w:p>
    <w:p>
      <w:r>
        <w:t>IT: GE_GERICHTE ACPR/234/2022 del 29 ottobre 2021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Fondé, le recours doit être admis ; partant, les ordonnances querellées seront annulées et la cause retournée au Ministère public pour qu'il ouvre une instruction. Il lui appartiendra de déterminer si, de mai à juillet 2016, la prévenue a effectivement exercé une activité lucrative au sein de la société administrée par son époux et perçu les salaires annoncés sur cette période.</w:t>
      </w:r>
    </w:p>
    <w:p>
      <w:r>
        <w:rPr>
          <w:b/>
        </w:rPr>
        <w:t>E. 6</w:t>
      </w:r>
    </w:p>
    <w:p>
      <w:r>
        <w:t>La recourante obtient gain de cause de sorte que les frais afférents au recours seront laissés à la charge de l'État (art. 428 al. 4 CPP).</w:t>
      </w:r>
    </w:p>
    <w:p>
      <w:r>
        <w:rPr>
          <w:b/>
        </w:rPr>
        <w:t>E. 7</w:t>
      </w:r>
    </w:p>
    <w:p>
      <w:r>
        <w:t>Bien que représentée par un avocat, la recourante n'a pas chiffré ni justifié de prétentions en indemnité au sens de l'art. 433 al. 2 CPP, applicable en instance de recours (art. 436 al. 1 CPP), de sorte qu'il ne lui en sera point alloué (arrêt du Tribunal fédéral 6B_1345/2016 du 30 novembre 2017 consid. 7.2). * * * * *</w:t>
      </w:r>
    </w:p>
    <w:p>
      <w:r>
        <w:t>- 13/13 - P/7287/2019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