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ACPR/233/2026 vom 5. März 2026</w:t>
      </w:r>
    </w:p>
    <w:p>
      <w:r>
        <w:t>GE Cour de justice, 2026-03-05, FR</w:t>
      </w:r>
    </w:p>
    <w:p>
      <w:r>
        <w:rPr>
          <w:b/>
        </w:rPr>
        <w:t xml:space="preserve">Quelle: </w:t>
      </w:r>
      <w:r>
        <w:t>https://mcp.opencaselaw.ch/entscheid/ge_gerichte_ACPR_233_2026</w:t>
      </w:r>
    </w:p>
    <w:p>
      <w:r>
        <w:t>FR: GE_GERICHTE ACPR/233/2026 du 5 mars 2026</w:t>
      </w:r>
    </w:p>
    <w:p>
      <w:r>
        <w:t>IT: GE_GERICHTE ACPR/233/2026 del 5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 ACPR/747/2020 du 22 octobre 2020 consid. 2 et les références), lequel expose, par renvoi à sa précédente ordonnance du 9 septembre 2025 (OTMC/2777/2025), les indices graves et concordants pesant sur le prévenu.</w:t>
      </w:r>
    </w:p>
    <w:p>
      <w:r>
        <w:rPr>
          <w:b/>
        </w:rPr>
        <w:t>E. 3</w:t>
      </w:r>
    </w:p>
    <w:p>
      <w:r>
        <w:t>Le recourant conteste tout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bien que le recourant, de nationalité suisse, indique posséder "tout son centre d'intérêts à Genève", ville où il est né, a effectué toute sa scolarité et vu ses deux enfants naître, et où sa mère avait vécu jusqu'à son arrestation, force est d'admettre que sa situation personnelle n'est plus celle qu'elle était à l'époque. En effet, son épouse – qui lui a fait part de son souhait de divorcer – n'y habite plus, tout comme ses deux enfants, étant précisé que, à teneur des explications du recourant, ceux-ci pourraient se trouver en région [de] E______, bien que leur domicile exact ne lui soit pas connu. Il en va de même de sa mère, qui a emménagé dans une maison de retraite en Allemagne. Certes, le recourant affirme aujourd'hui, malgré le rétrécissement de ses attaches à Genève, vouloir y rester en cas de mise en liberté, précisant, pièce à l'appui, que le SRSP pourrait mettre un logement à sa disposition. Il n'en demeure pas moins qu'avant d'être arrêté, le recourant n'y vivait plus véritablement, étant rappelé qu'il était alors officiellement domicilié aux Émirats arabes unis, pays où, de ses propres aveux, il résidait depuis neuf ans. À cela s'ajoute que, lors d'un appel téléphonique avec sa mère, le 1er septembre 2025, le recourant lui a indiqué "ne plus être attaché à Genève" depuis qu'elle avait quitté la ville. Au vu de ces éléments, d'une part, et des enjeux que représente pour lui la procédure – non seulement eu égard à la peine concrètement encourue en cas de condamnation mais également des montants très importants qu'il pourrait devoir rembourser aux plus de cent créanciers</w:t>
      </w:r>
    </w:p>
    <w:p>
      <w:r>
        <w:t>- 8/12 - P/21919/2021 susceptibles d'avoir été lésés par ses agissements –, d'autre part, il y a sérieusement lieu de craindre que, nonobstant les bonnes intentions qu'il affiche aujourd'hui, y compris dans le cadre du suivi dont il fait l'objet, il ne cherche à prendre la fuite afin de se soustraire à la procédure. Certes, le recourant indique être dépourvu de documents d'identité et dans le dénuement. Ces éléments ne sont toutefois pas de nature à écarter toutes velléités de fuite de sa part, ni à l'entraver dans un tel projet, étant précisé que le fait qu'il ne dispose plus de documents d'identité ne l'empêche aucunement de franchir la frontière par la voie terrestre et de se rendre dans un pays dans lequel il ne peut être exclu qu'il ait caché une partie des sommes détournées. Au vu de ces considérations, c'est à bon droit que le TMC a retenu l'existence d'un risque de fuite.</w:t>
      </w:r>
    </w:p>
    <w:p>
      <w:r>
        <w:rPr>
          <w:b/>
        </w:rPr>
        <w:t>E. 4</w:t>
      </w:r>
    </w:p>
    <w:p>
      <w:r>
        <w:t>Les risques de collusion et de réitération n'ayant pas été retenus par le premier juge, il n'y pas besoin de s'y pencher, ce d'autant au vu du caractère indiscutable du risque de fuite examiné supra.</w:t>
      </w:r>
    </w:p>
    <w:p>
      <w:r>
        <w:rPr>
          <w:b/>
        </w:rPr>
        <w:t>E. 5</w:t>
      </w:r>
    </w:p>
    <w:p>
      <w:r>
        <w:t>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w:t>
      </w:r>
    </w:p>
    <w:p>
      <w:r>
        <w:t>- 9/12 - P/21919/2021</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et l'interdiction d'entretenir des relations avec certaines personnes (al. 2 let. g). La liste des mesures de substitution énoncée à l'art. 237 CPP n'est pas exhaustive (arrêt du Tribunal fédéral 1B_654/2011 du 7 décembre 2011 consid. 4.2).</w:t>
      </w:r>
    </w:p>
    <w:p>
      <w:r>
        <w:rPr>
          <w:b/>
        </w:rPr>
        <w:t>E. 5.2</w:t>
      </w:r>
    </w:p>
    <w:p>
      <w:r>
        <w:t>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w:t>
      </w:r>
    </w:p>
    <w:p>
      <w:r>
        <w:rPr>
          <w:b/>
        </w:rPr>
        <w:t>E. 5.3</w:t>
      </w:r>
    </w:p>
    <w:p>
      <w:r>
        <w:t>En l'espèce, les mesures proposées par le recourant pour contenir le risque de fuite – laisser ses documents d'identité en mains du Ministère public, interdiction de quitter le canton de Genève, port d'un bracelet électronique, obligation de se présenter au minimum une fois par semaine à un poste de police, assignation à résidence, obligation de se tenir à disposition de la justice et de déférer à toute convocation – ne permettraient pas de l'empêcher de quitter la Suisse, mais tout au plus de constater sa fuite a posteriori. S'agissant de l'interdiction d'entrer en contact avec les personnes concernées par la procédure, elle permettrait tout au plus de pallier un éventuel risque de collusion, non examiné dans le cadre du présent recours. Quant à la mise en œuvre, enfin, d'un mandat de suivi de probation en faveur du recourant, si une telle mesure pourrait cas échéant, certes, permettre de contenir un éventuel risque de réitération – non retenu par le premier juge, ni analysé dans le cadre du présent recours –, elle ne permettrait pas, quand bien même un logement serait mis à la disposition du recourant, de l'empêcher de quitter la Suisse. C'est ainsi à bon droit que le TMC a considéré que seul le maintien en détention pour des motifs de sûreté du recourant était de nature à pallier le risque précité.</w:t>
      </w:r>
    </w:p>
    <w:p>
      <w:r>
        <w:rPr>
          <w:b/>
        </w:rPr>
        <w:t>E. 6</w:t>
      </w:r>
    </w:p>
    <w:p>
      <w:r>
        <w:t>Le recourant soutient que la prolongation de sa détention pour des motifs de sûreté violerait le principe de la proportionnalité, au vu de la détention déjà subie à ce jour et de la peine selon lui encourue.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En l'espèce, une prolongation, même pour une durée de quatre mois, de la détention avant jugement subie par le recourant demeure proportionnée au vu de la peine menace et concrètement encourue par celui-ci s'il devait être reconnu coupable des faits – incontestablement graves – qui lui sont reprochés, étant à cet égard relevé qu'il a été renvoyé en jugement par-devant le Tribunal correctionnel, ce qui implique que le Ministère public entend requérir à son encontre le prononcé d'une peine privative de liberté supérieure à deux ans (cf. art. 98 al. 1 de la Loi genevoise sur l'organisation judiciaire).</w:t>
      </w:r>
    </w:p>
    <w:p>
      <w:r>
        <w:rPr>
          <w:b/>
        </w:rPr>
        <w:t>E. 7</w:t>
      </w:r>
    </w:p>
    <w:p>
      <w:r>
        <w:t>Le recours s'avère ainsi infondé et doit être rejeté.</w:t>
      </w:r>
    </w:p>
    <w:p>
      <w:r>
        <w:t>- 10/12 - P/21919/2021</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