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ACPR/233/2024 vom 15. Januar 2024</w:t>
      </w:r>
    </w:p>
    <w:p>
      <w:r>
        <w:t>GE Cour de justice, 2024-01-15, FR</w:t>
      </w:r>
    </w:p>
    <w:p>
      <w:r>
        <w:rPr>
          <w:b/>
        </w:rPr>
        <w:t xml:space="preserve">Quelle: </w:t>
      </w:r>
      <w:r>
        <w:t>https://mcp.opencaselaw.ch/entscheid/ge_gerichte_ACPR_233_2024</w:t>
      </w:r>
    </w:p>
    <w:p>
      <w:r>
        <w:t>FR: GE_GERICHTE ACPR/233/2024 du 15 janvier 2024</w:t>
      </w:r>
    </w:p>
    <w:p>
      <w:r>
        <w:t>IT: GE_GERICHTE ACPR/233/2024 del 15 gennaio 2024</w:t>
      </w:r>
    </w:p>
    <w:p>
      <w:pPr>
        <w:pStyle w:val="Heading2"/>
      </w:pPr>
      <w:r>
        <w:t>Erwägungen</w:t>
      </w:r>
    </w:p>
    <w:p>
      <w:r>
        <w:rPr>
          <w:b/>
        </w:rPr>
        <w:t>E. 1</w:t>
      </w:r>
    </w:p>
    <w:p>
      <w:r>
        <w:t>Le recours est recevable pour avoir été déposé selon la forme et dans le délai prescrits (art. 90 al. 2,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w:t>
      </w:r>
    </w:p>
    <w:p>
      <w:r>
        <w:t>- 5/10 - P/27857/2023 al. 2 et 5 a contrario CPP). Tel est le cas en l'occurrence, au vu des considérations qui suivent.</w:t>
      </w:r>
    </w:p>
    <w:p>
      <w:r>
        <w:rPr>
          <w:b/>
        </w:rPr>
        <w:t>E. 3</w:t>
      </w:r>
    </w:p>
    <w:p>
      <w:r>
        <w:t>La recourante reproche au Ministère public de ne pas avoir pu faire valoir ses réquisitions de preuve avant la reddition de l'ordonnance querellée, ainsi qu'une constatation incomplète et erronée des faits.</w:t>
      </w:r>
    </w:p>
    <w:p>
      <w:r>
        <w:rPr>
          <w:b/>
        </w:rPr>
        <w:t>E. 3.1</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 terme "immédiatement" indique que l'ordonnance de non-entrée en matière doit être rendue à réception de la dénonciation, de la plainte ou du rapport de police avant qu'il ne soit procédé à de plus amples actes d'enquête et qu'une instruction ne soit ouverte selon l'art. 309 CPP (arrêt du Tribunal fédéral 6B_89/2022 du 2 juin 2022 consid. 2.2). L'audition du prévenu et de la partie plaignante par la police ne dépasse pas le cadre des investigations policières qui peuvent être effectuées avant que le ministère public n'ouvre une instruction (art. 206 al. 1 CPP; arrêt du Tribunal fédéral 6B_89/2022 précité consid. 2.2). Avant l'ouverture d'une instruction, le droit de participer à l'administration des preuves ne s'applique en principe pas (art. 147 al. 1 CPP a contrario; ATF 143 IV 397 consid. 3.3.2 i. f. et 140 IV 172 consid. 1.2.2). En outre, avant de rendre une ordonnance de non-entrée en matière, le ministère public n'a pas à informer les parties ni n'a l'obligation de leur fixer un délai pour présenter d'éventuelles réquisitions de preuve, l'art. 318 CPP n'étant pas applicable dans ce cas. Le droit d'être entendu des parties est en effet assuré, le cas échéant, dans le cadre de la procédure de recours contre l'ordonnance de non-entrée en matière (cf. art. 310 al. 2, 322 al. 2 et 393 ss CPP). Cette procédure permet aux parties de faire valoir tous leurs griefs – formels et matériels – auprès d'une autorité disposant d'une pleine cognition en fait et en droit (arrêt du Tribunal fédéral 6B_866/2021 précité consid. 2.2.2).</w:t>
      </w:r>
    </w:p>
    <w:p>
      <w:r>
        <w:rPr>
          <w:b/>
        </w:rPr>
        <w:t>E. 3.2</w:t>
      </w:r>
    </w:p>
    <w:p>
      <w:r>
        <w:t>En l'espèce, la procédure n'a pas dépassé la phase des investigations policières, de sorte que le Ministère public était dispensé d'entendre la recourante avant de prononcer sa décision querellée. Pour le surplus, l'intéressée a pu faire valoir devant la Chambre de céans – qui dispose d'un plein pouvoir de cognition en fait et en droit (art. 391 al. 1 et 393 al. 2 CPP) – les arguments qu'elle estimait pertinents. De même, les éventuelles constatations inexactes du Ministère public dont la recourante se plaint, sans autre développement, auront été corrigées dans l'état de fait établi ci- avant.</w:t>
      </w:r>
    </w:p>
    <w:p>
      <w:r>
        <w:t>- 6/10 - P/27857/2023 Partant, ces griefs sont rejetés.</w:t>
      </w:r>
    </w:p>
    <w:p>
      <w:r>
        <w:rPr>
          <w:b/>
        </w:rPr>
        <w:t>E. 4</w:t>
      </w:r>
    </w:p>
    <w:p>
      <w:r>
        <w:t>La recourante soutient que les propos tenus par la mise en cause étaient diffamants, voire calomnieux, et que les conditions d'application de la preuve libératoire de l'art. 173 ch. 2 CP n'étaient pas réunies, si bien que le Ministère public aurait dû entrer en matière sur sa plainte pénale.</w:t>
      </w:r>
    </w:p>
    <w:p>
      <w:r>
        <w:rPr>
          <w:b/>
        </w:rPr>
        <w:t>E. 4.1</w:t>
      </w:r>
    </w:p>
    <w:p>
      <w:r>
        <w:t>Au moment de statuer sur l'ouverture éventuelle de l'instruction, le ministère public doit examiner si les conditions d'exercice de l'action publique sont réunies, c'est-à-dire si les faits qui sont portés à sa connaissance sont constitutifs d'une infraction pénale et si la poursuite est recevable. Il suffit que l'un des éléments constitutifs de l'infraction ne soit manifestement pas réalisé pour que la non-entrée en matière se justifie (Y. JEANNERET / A. KUHN / C. PERRIER DEPEURSINGE (éds), Commentaire romand : Code de procédure pénale suisse, 2ème éd., Bâle 2019, n. 8 ad art. 310). 4.2.1. Se rend coupable de diffamation au sens de l'art. 173 ch. 1 CP, quiconque, en s'adressant à un tiers, aura accusé une personne ou jeté sur elle le soupçon de tenir une conduite contraire à l'honneur, ou de tout autre fait propre à porter atteinte à sa considération, de même que celui qui aura propagé une telle accusation ou un tel soupçon. 4.2.2. En 2007, le Tribunal fédéral considérait attentatoire à l'honneur de reprocher à un individu d'avoir un comportement socialement mal vu en matière sexuelle, tel que l'adultère et la prostitution (arrêt du Tribunal fédéral 6S_5/2007 du 14 mars 2007 consid. 3.1). En 2017, il a estimé qu'une déclaration selon laquelle une personne avait elle-même été active dans le milieu des quartiers chauds – comme entretenir des contacts avec des proxénètes et des prostituées et être actif dans ce type de commerce – la faisait apparaître au moins comme une personne moralement douteuse, selon la conception morale qui prévalait à ce jour. L'accusation d'un comportement socialement désapprouvé et moralement reprochable dans la sphère sexuelle au sens large pouvait être attentatoire à l'honneur, indépendamment du fait que ces activités soient légales (arrêt du Tribunal fédéral 6B_584/2016 du 6 février 2017 consid. 3.2.1). Plus récemment toutefois, dans le cadre de l'examen d'une escroquerie (art. 146 CP), le Tribunal fédéral a considéré qu'au vu de l'évolution des valeurs éthiques, le contrat de prostitution ne pouvait plus être qualifié systématiquement de contraire aux mœurs, donc nul au sens de l'art. 19 al. 2 CO (arrêt du Tribunal fédéral 6B_572/2020 du 8 janvier 2021 consid. 5.1 et 5.2).</w:t>
      </w:r>
    </w:p>
    <w:p>
      <w:r>
        <w:t>- 7/10 - P/27857/2023 4.2.3. Conformément à l'art. 173 ch. 2 CP, même si le caractère diffamatoire des propos ou des écrits litigieux est établi, l'inculpé n'encourra aucune peine s'il prouve que les allégations qu'il a articulées ou propagées sont conformes à la vérité ou qu'il avait des raisons sérieuses de les tenir de bonne foi pour vraies. Lorsque la preuve de la bonne foi est apportée, l'accusé doit être acquitté (ATF 119 IV 44 consid. 3 p. 48). L'admission de la preuve libératoire constitue la règle et elle ne peut être refusée que si l'auteur a agi principalement dans le but de dire du mal d'autrui et s'il s'est exprimé sans motif suffisant (ATF 132 IV 112 consid. 3.1 p. 116). Pour échapper à la sanction pénale, l'accusé de bonne foi doit prouver qu'il a cru à la véracité de ses allégations après avoir fait consciencieusement tout ce que l'on pouvait attendre de lui pour s'assurer de leur exactitude. Pour dire si l'accusé avait des raisons sérieuses de tenir de bonne foi pour vrai ce qu'il a dit, il faut se fonder exclusivement sur les éléments dont il avait connaissance à l'époque de sa déclaration; il n'est pas question de prendre en compte des moyens de preuve découverts ou des faits survenus postérieurement (ATF 124 IV 149 consid. 3b p. 151 et 152 et les références citées; arrêt du Tribunal fédéral 6B_632/2015 du 9 octobre 2015 consid. 1).</w:t>
      </w:r>
    </w:p>
    <w:p>
      <w:r>
        <w:rPr>
          <w:b/>
        </w:rPr>
        <w:t>E. 4.3</w:t>
      </w:r>
    </w:p>
    <w:p>
      <w:r>
        <w:t>La calomnie (art. 174 CP) est une forme qualifiée de diffamation, dont elle se distingue par le fait que les allégations attentatoires à l'honneur sont fausses, que l'auteur a connaissance de la fausseté de ses allégations et qu'il n'y a, dès lors, pas de place pour les preuves libératoires prévues par l'art. 173 CP (arrêt du Tribunal fédéral 6B_1286/2016 du 15 août 2017 consid. 1.2).</w:t>
      </w:r>
    </w:p>
    <w:p>
      <w:r>
        <w:rPr>
          <w:b/>
        </w:rPr>
        <w:t>E. 4.4</w:t>
      </w:r>
    </w:p>
    <w:p>
      <w:r>
        <w:t>En l'espèce, au vu de l'évolution jurisprudentielle rappelée ci-dessus, il n'est pas certain que prétendre qu'une personne s'adonnerait à la prostitution soit attentatoire à son honneur. Cela étant, même à considérer que les allégations de la mise en cause, qui soutient en sus que la recourante présenterait des jeunes filles à des hommes dans un but pécuniaire, auraient jeté sur cette dernière un soupçon de comportement contraire à l'honneur, il y aurait lieu de constater que les conditions des preuves libératoires de l'art. 173 ch. 2 CP étaient manifestement remplies. En effet, il ressort des déclarations de la mise en cause à la police qu'elle s'est basée sur ses propres constatations pour rédiger son écrit, étant relevé que les intéressées semblent s'être côtoyées dans une plus large mesure que ce que la recourante a admis lors de son audition. Ainsi, le train de vie de la recourante, qui voyageait beaucoup, portait des bijoux et vêtements luxueux, disposait d'importantes sommes d'argent en espèces et avait acquis un appartement au Maroc, ne semblait pas correspondre aux revenus d'une personne au bénéfice de l'aide de l'Hospice général. La mise en cause ajoute avoir vu, lors de visites au domicile de la recourante, que cette dernière logeait</w:t>
      </w:r>
    </w:p>
    <w:p>
      <w:r>
        <w:t>- 8/10 - P/27857/2023 des jeunes filles. Dans l'attestation litigieuse, la mise en cause a tout d'abord nuancé ses propos quant au fait que cette dernière présenterait lesdites jeunes filles à des hommes dans un but pécuniaire, dès lors qu'il ne s'agissait que d'ouï-dire. Elle a toutefois tenu cette information pour établie lorsque la recourante avait proposé à sa fille de se prostituer. Enfin, la mise en cause affirme avoir vu la recourante recevoir d'importantes sommes d'argent de la part d'hommes. Ainsi, rien ne permet de retenir que la mise en cause n'aurait pas tenu pour vraies ses allégations. Elle pourrait au demeurant aisément rapporter la preuve de la vérité. Au surplus, l'on ne distingue pas, chez la mise en cause, de volonté de porter atteinte à la considération de la recourante, mais plutôt de soutenir un ami dans le cadre de la procédure civile qui l'opposait à cette dernière, l'attestation litigieuse ayant été établie à cette fin et produite uniquement dans ce cadre. Bien que les parties aient eu des désaccords par le passé, l'affirmation selon laquelle la mise en cause aurait agi, plus de deux ans plus tard, par vengeance et dans le dessein de nuire à la recourante, ne repose que sur les convictions de cette dernière et n'est corroborée par aucun élément objectif. Une intention de nuire fait donc manifestement défaut (art. 173 al. 3 CP). En définitive, les probabilités d'un acquittement étant manifestement supérieures à celles d'une condamnation, c'est donc à bon droit que le Ministère public a décidé de ne pas entrer en matière sur l'infraction de diffamation et a fortiori de calomnie. Pour le surplus, aucun autre acte d'instruction n'apparait susceptible d'apporter d'élément complémentaire probant. La recourante n'en dit mot, d'ailleurs.</w:t>
      </w:r>
    </w:p>
    <w:p>
      <w:r>
        <w:rPr>
          <w:b/>
        </w:rPr>
        <w:t>E. 5</w:t>
      </w:r>
    </w:p>
    <w:p>
      <w:r>
        <w:t>Justifiée, l'ordonnance querellée sera donc confirmée.</w:t>
      </w:r>
    </w:p>
    <w:p>
      <w:r>
        <w:rPr>
          <w:b/>
        </w:rPr>
        <w:t>E. 6</w:t>
      </w:r>
    </w:p>
    <w:p>
      <w:r>
        <w:t>La recourante, qui succombe, supportera les frais envers l'État, fixés en totalité à CHF 1'200.- (art. 428 al. 1 CPP et 13 al. 1 du Règlement fixant le tarif des frais en matière pénale, RTFMP ; E 4 10.03). * * * * *</w:t>
      </w:r>
    </w:p>
    <w:p>
      <w:r>
        <w:t>- 9/10 - P/27857/2023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