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ACPR/233/2020 vom 5. November 2019</w:t>
      </w:r>
    </w:p>
    <w:p>
      <w:r>
        <w:t>GE Cour de justice, 2019-11-05, FR</w:t>
      </w:r>
    </w:p>
    <w:p>
      <w:r>
        <w:rPr>
          <w:b/>
        </w:rPr>
        <w:t xml:space="preserve">Quelle: </w:t>
      </w:r>
      <w:r>
        <w:t>https://mcp.opencaselaw.ch/entscheid/ge_gerichte_ACPR_233_2020</w:t>
      </w:r>
    </w:p>
    <w:p>
      <w:r>
        <w:t>FR: GE_GERICHTE ACPR/233/2020 du 5 novembre 2019</w:t>
      </w:r>
    </w:p>
    <w:p>
      <w:r>
        <w:t>IT: GE_GERICHTE ACPR/233/2020 del 5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domicile, à Malte, du mis en cause pose la question de la compétence des autorités de poursuite pénale suisses.</w:t>
      </w:r>
    </w:p>
    <w:p>
      <w:r>
        <w:rPr>
          <w:b/>
        </w:rPr>
        <w:t>E. 2.1</w:t>
      </w:r>
    </w:p>
    <w:p>
      <w:r>
        <w:t>Selon l'art. 3 al. 1 CP, le Code pénal suisse est applicable à quiconque commet un crime ou un délit en Suisse. Un crime ou un délit est réputé commis tant au lieu où l'auteur a agi ou aurait dû agir qu'au lieu où le résultat s'est produit (art. 8 al. 1 CP). En matière d'infractions commises sur Internet, on admet que le lieu de l'acte est celui où se trouve l'auteur au moment d'effectuer les manipulations nécessaires à la diffusion des contenus illicites (M. DUPUIS / L. MOREILLON / C. PIGUET / S. BERGER / M. MAZOU / V. RODIGARI (éds), Code pénal - Petit commentaire, Bâle 2017, n. 17 ad art. 8 et les références citées). Quant au lieu du résultat,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 cit., Bâle 2017, n. 19 ad art. 8 et les références citées).</w:t>
      </w:r>
    </w:p>
    <w:p>
      <w:r>
        <w:rPr>
          <w:b/>
        </w:rPr>
        <w:t>E. 2.2</w:t>
      </w:r>
    </w:p>
    <w:p>
      <w:r>
        <w:t>En l’espèce, la question de savoir depuis quel pays le mis en cause a envoyé le courriel litigieux peut demeurer indécise. Par analogie avec les principes sus-rappelés</w:t>
      </w:r>
    </w:p>
    <w:p>
      <w:r>
        <w:t>- 5/8 - P/15563/2019 en matière d'Internet, le courriel ayant été adressé à des personnes domiciliées en Suisse, et manifestement destiné à un public suisse, le for de l’action pénale est donc en Suisse.</w:t>
      </w:r>
    </w:p>
    <w:p>
      <w:r>
        <w:rPr>
          <w:b/>
        </w:rPr>
        <w:t>E. 3</w:t>
      </w:r>
    </w:p>
    <w:p>
      <w:r>
        <w:t>Le recourant reproche au Ministère public d'avoir considéré que le message litigieux – dont le contenu n'était pas connu – n'était constitutif d'aucune infraction, alors même qu'il n'avait pas entrepris les démarches suffisantes pour en obtenir la production.</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w:t>
      </w:r>
    </w:p>
    <w:p>
      <w:r>
        <w:t>Des motifs de fait peuvent justifier la non-entrée en matière. Il s'agit des cas où la preuve d'une infraction, soit de la réalisation en fait de ses éléments constitutifs, n'est pas apportée par les pièces dont dispose le ministère public, étant néanmoins rappelé que le ministère public doit avoir un comportement actif (CPP 6) et qu'il doit, le cas échéant, aller rechercher les informations qui lui manquent. Il faut que l'insuffisance de charges soit manifeste.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2019 n. 9 ad art. 310 CP).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t>- 6/8 - P/15563/2019</w:t>
      </w:r>
    </w:p>
    <w:p>
      <w:r>
        <w:rPr>
          <w:b/>
        </w:rPr>
        <w:t>E. 3.2</w:t>
      </w:r>
    </w:p>
    <w:p>
      <w:r>
        <w:t>Commet une diffamation, selon l'art. 173 ch. 1 CP, celui qui, en s’adressant à un tiers, aura accusé une personne ou jeté sur elle le soupçon de tenir une conduite contraire à l’honneur, ou de tout autre fait propre à porter atteinte à sa considération. L'auteur n’encourra aucune peine s’il prouve que les allégations qu’il a articulées ou propagées sont conformes à la vérité ou qu’il avait des raisons sérieuses de les tenir de bonne foi pour vraies (ch. 2). Il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3.3</w:t>
      </w:r>
    </w:p>
    <w:p>
      <w:r>
        <w:t>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ou qui aura propagé de telles accusations ou de tels soupçons, alors qu’il en connaissait l’inanité.</w:t>
      </w:r>
    </w:p>
    <w:p>
      <w:r>
        <w:rPr>
          <w:b/>
        </w:rPr>
        <w:t>E. 3.4</w:t>
      </w:r>
    </w:p>
    <w:p>
      <w:r>
        <w:t>En l'espèce, à réception de la plainte pénale, le Ministère public l'a transmise à la police pour enquête préliminaire. Le Procureur ne saurait dès lors, après-coup, fonder une non-entrée en matière sur l'absence d'éléments concrets figurant dans la plainte, alors même qu'il a, sur le vu de celle-ci, accepté qu'une enquête policière soit menée. Au retour du rapport de police, auquel était joint le procès-verbal d'audition du mis en cause, le contenu du courriel litigieux n'était toujours pas connu, mais son auteur a admis avoir adressé un message à un cercle de personnes, dans lequel figuraient, selon ses dires, des liens vers des documents accessibles sur Internet contenant des informations sur le recourant. Dans le premier document, il est fait référence au fait que l'un des immeubles dont le recourant est propriétaire abriterait une activité de prostitution; le second relate une plainte déposée par le recourant contre la police par suite de son interpellation en 1993. Sans connaître le contenu du courriel litigieux, on ne peut affirmer qu'il ne remplit pas les éléments constitutifs des art. 173ss CP, puisque, d'une part, on ignore si les informations auxquelles il était fait référence étaient bel et bien celles présentées à la police par le mis en cause et que, d'autre part, ce dernier a admis avoir ajouté "des commentaires" aux informations diffusées. Le recourant aurait au demeurant été alerté par deux des destinataires du message, car les propos de leur auteur leur semblaient diffamatoires. Il est ainsi prématuré de conclure à l'absence de toute prévention pénale. Il existe au contraire, en l’état, un soupçon suffisant que le courriel puisse contenir des propos</w:t>
      </w:r>
    </w:p>
    <w:p>
      <w:r>
        <w:t>- 7/8 - P/15563/2019 diffamatoires, les informations diffusées ayant, en fonction des "commentaires" qui y étaient joints, pu porter atteinte à la considération du recourant. Le mis en cause ne pourrait en outre pas apporter la preuve de la vérité s'il devait s'avérer que ses allégations ont été propagées dans le dessein de dire du mal d’autrui. En l’espèce, les circonstances de l’envoi du message, en marge du litige civil opposant les parties, permet de douter que le but visé fût d'intérêt public. Un complément d'enquêtes s'impose donc, conforment à l'art. 309 al. 2 CPP, en vue d'entendre les deux témoins cités par le recourant, soit D______ et C______, dont les coordonnées pourront être fournies par le recourant ou obtenues par la police. Un ordre de dépôt par le Ministère public, au sens de l'art. 265 CPP, pour obtenir une copie du document litigieux auprès des témoins susmentionnés – et non du mis en cause, qui n'est pas soumis à cette obligation (art. 265 al. 2 let a CPP) –, ne paraît pas non plus être une démarche disproportionnée.</w:t>
      </w:r>
    </w:p>
    <w:p>
      <w:r>
        <w:rPr>
          <w:b/>
        </w:rPr>
        <w:t>E. 4</w:t>
      </w:r>
    </w:p>
    <w:p>
      <w:r>
        <w:t>Fondé, le recours doit être admis. Partant, l'ordonnance querellée sera annulée et la cause retournée au Ministère public pour qu’il ordonne le complément d'enquêtes précité.</w:t>
      </w:r>
    </w:p>
    <w:p>
      <w:r>
        <w:rPr>
          <w:b/>
        </w:rPr>
        <w:t>E. 5</w:t>
      </w:r>
    </w:p>
    <w:p>
      <w:r>
        <w:t>L'admission du recours ne donne pas lieu à la perception de frais (art. 428 al. 1 CPP).</w:t>
      </w:r>
    </w:p>
    <w:p>
      <w:r>
        <w:rPr>
          <w:b/>
        </w:rPr>
        <w:t>E. 6</w:t>
      </w:r>
    </w:p>
    <w:p>
      <w:r>
        <w:t>Le recourant, partie plaignante, qui obtient gain de cause, a demandé une indemnité pour ses frais de recours qu'il n’a toutefois ni chiffrée ni, a fortiori, justifiée, de sorte qu’il ne sera pas entré en matière sur ce point (art. 433 al. 2 CPP). * * * * *</w:t>
      </w:r>
    </w:p>
    <w:p>
      <w:r>
        <w:t>- 8/8 - P/15563/2019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