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ACPR/231/2024 vom 14. März 2024</w:t>
      </w:r>
    </w:p>
    <w:p>
      <w:r>
        <w:t>GE Cour de justice, 2024-03-14, FR</w:t>
      </w:r>
    </w:p>
    <w:p>
      <w:r>
        <w:rPr>
          <w:b/>
        </w:rPr>
        <w:t xml:space="preserve">Quelle: </w:t>
      </w:r>
      <w:r>
        <w:t>https://mcp.opencaselaw.ch/entscheid/ge_gerichte_ACPR_231_2024</w:t>
      </w:r>
    </w:p>
    <w:p>
      <w:r>
        <w:t>FR: GE_GERICHTE ACPR/231/2024 du 14 mars 2024</w:t>
      </w:r>
    </w:p>
    <w:p>
      <w:r>
        <w:t>IT: GE_GERICHTE ACPR/231/2024 del 14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compétence du Ministère public s'agissant des faits ayant eu lieu durant sa minorité.</w:t>
      </w:r>
    </w:p>
    <w:p>
      <w:r>
        <w:rPr>
          <w:b/>
        </w:rPr>
        <w:t>E. 2.1</w:t>
      </w:r>
    </w:p>
    <w:p>
      <w:r>
        <w:t>À teneur de l'art. 3 al. 2 DPMin (RS 311.1) lorsque plusieurs infractions commises avant et après l’âge de 18 ans doivent être jugées en même temps, le Code pénal est seul applicable en ce qui concerne les peines. Il en va de même pour les peines complémentaires (art. 49 al. 2 CP) prononcées pour un acte commis avant l’âge de 18 ans. Lorsqu’une mesure est nécessaire, l’autorité de jugement ordonne celle qui est prévue par le code pénal ou par la présente loi, en fonction des circonstances. Lorsqu’une procédure pénale des mineurs est introduite avant la connaissance d’un acte commis après l’âge de 18 ans, cette procédure reste applicable. Dans les autres cas, la procédure pénale relative aux adultes est applicable.</w:t>
      </w:r>
    </w:p>
    <w:p>
      <w:r>
        <w:rPr>
          <w:b/>
        </w:rPr>
        <w:t>E. 2.2</w:t>
      </w:r>
    </w:p>
    <w:p>
      <w:r>
        <w:t>En l'occurrence, le recourant étant poursuivi tant pour un acte commis – en décembre 2022 – alors qu'il était déjà âgé de 18 ans, que pour des faits survenus alors qu'il était mineur, la compétence du Ministère public est acquise.</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w:t>
      </w:r>
    </w:p>
    <w:p>
      <w:r>
        <w:t>- 8/12 - P/28142/2023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 recourant est – notamment – prévenu d'acte d'ordre sexuel commis sur une personne incapable de discernement ou de résistance (art. 191 CP). Les déclarations cohérentes et constantes de la plaignante, qui s'est confiée à plusieurs personnes, paraissent crédibles, de sorte que même si le recourant conteste avoir touché les parties intimes de la précitée, dans la nuit du 3 décembre 2022, il existe en l'état des soupçons suffisants de la commission de cette infraction. S'agissant d'un crime (art. 10 al. 2 CP), la première condition visée à l'art. 221 al. 1 CP est réalisée. Point n'est ainsi besoin d'examiner les autres charges retenues contre lui.</w:t>
      </w:r>
    </w:p>
    <w:p>
      <w:r>
        <w:rPr>
          <w:b/>
        </w:rPr>
        <w:t>E. 4</w:t>
      </w:r>
    </w:p>
    <w:p>
      <w:r>
        <w:t>Le recourant conteste l'existence d'un risque de collusion et propose, s'il devait être retenu, des mesures de substitution à la détention provisoire.</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t>- 9/12 - P/28142/2023</w:t>
      </w:r>
    </w:p>
    <w:p>
      <w:r>
        <w:rPr>
          <w:b/>
        </w:rPr>
        <w:t>E. 4.2</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 Cette interdiction ne peut en principe porter que sur des personnes déterminées (arrêts 1B_485/2019 du 12 novembre 2019 consid. 3.4.2; 1B_121/2019 du 8 avril 2019 consid. 4.4).</w:t>
      </w:r>
    </w:p>
    <w:p>
      <w:r>
        <w:rPr>
          <w:b/>
        </w:rPr>
        <w:t>E. 4.3</w:t>
      </w:r>
    </w:p>
    <w:p>
      <w:r>
        <w:t>En l'espèce, le TMC a retenu un risque de collusion à l'égard de la plaignante, de E______, de G______, ainsi que des dénommées "I______" et "J______". Les faits dénoncés par la plaignante ont eu lieu en décembre 2022, soit il y a plus d'une année. Le recourant en a parlé avec la plaignante et avec E______ (à teneur de la transcription figurant sous B.g. supra). La plaignante s'est, quant à elle, confiée à son ancienne formatrice, dont le résumé et les déclarations figurent au dossier, et en aurait parlé sur les réseaux sociaux. Le risque de collusion s'est donc, depuis les faits, fortement atténué. S'il paraît nécessaire que le recourant et la plaignante n'en re- parlent pas d'ici à l'audience fixée au 3 avril prochain, une interdiction de contact paraît suffisante, au vu de la perte d'intensité du risque. Les faits concernant E______ ne figurent pas au dossier, faute de déposition de cette dernière, qui a pourtant été invitée, par la police, à s'exprimer. Il paraît donc disproportionné de maintenir le recourant en détention pour un risque de collusion sur des faits qui ont eu lieu il y a cinq ans, alors que le recourant – et la lésée – étaient âgés de 14 ans, qu'ils ont évoqués ensemble depuis lors à maintes reprises, que la lésée semble avoir divulgués autour d'elle et dont le recourant dit ne pas se souvenir. Ici également, une interdiction de contact paraît suffisante, compte tenu de l'affaiblissement du risque de collusion. Il en va de même des "victimes potentielles" visées par l'ordonnance querellée. Selon les éléments figurant au dossier (cf. B.e. supra), tant G______ que le recourant ont été entendus en 2021 – alors que ce dernier était mineur – sur les faits dénoncés par la première, qui concernaient une contravention (art. 198 CP). Maintenir le recourant en détention pour une prétendue collusion en lien avec cet événement serait à tout le moins exorbitant. Quant aux dénommées "I______" et "J______", les faits les concernant, non datés, sont peu précis, de sorte qu'on ignore même s'ils atteignent la gravité d'un délit. Ils reposent en l'état sur ce qu'en a dit la plaignante, soit un ouï- dire. Cette dernière paraît en outre avoir discuté avec plusieurs personnes, sur les réseaux sociaux, des agissements prêtés au recourant, de sorte que, ici également, l'éventuel risque de collusion paraît s'être fortement atténué. Il s'ensuit qu'une interdiction de contact avec les prénommées suffit à pallier le risque résiduel.</w:t>
      </w:r>
    </w:p>
    <w:p>
      <w:r>
        <w:rPr>
          <w:b/>
        </w:rPr>
        <w:t>E. 5</w:t>
      </w:r>
    </w:p>
    <w:p>
      <w:r>
        <w:t>Le recourant conteste le risque de réitération et propose des mesures de substitution.</w:t>
      </w:r>
    </w:p>
    <w:p>
      <w:r>
        <w:t>- 10/12 - P/28142/2023</w:t>
      </w:r>
    </w:p>
    <w:p>
      <w:r>
        <w:rPr>
          <w:b/>
        </w:rPr>
        <w:t>E. 5.1</w:t>
      </w:r>
    </w:p>
    <w:p>
      <w:r>
        <w:t>L'existence d'un risque de récidive tel que défini à l'art. 221 al. 1 let. c CPP permet d'ordonner la détention provisoire s'il y a lieu de craindre que le prévenu fortement soupçonné d'un crime ou d'un délit ne compromette sérieusement et de manière imminente la sécurité d'autrui en commettant des crimes ou des délits graves après avoir déjà commis des infractions du même genre. L'art. 221 al. 1bis CPP est un nouvel alinéa entré en vigueur le 1er janvier 2024 et qui permet d'ordonner "exceptionnellement" la détention provisoire lorsque le prévenu est fortement soupçonné d'avoir porté gravement atteinte à l'intégrité physique, psychique ou sexuelle d'autrui en commettant un crime ou un délit grave et s'il y a un danger sérieux et imminent qu'il commette un crime grave du même genre. Le but de cette nouvelle réglementation entrée en vigueur le 1er janvier 2024 est de codifier la jurisprudence du Tribunal fédéral en la matière (ATF 146 IV 136 consid. 2.2 ; 143 IV 9 consid. 2.3.1 ; 137 IV 13 consid. 3-4), qui permettait déjà de tenir compte d'un risque de récidive pour ordonner la détention, même si le prévenu n'avait pas été condamné antérieurement (Message du Conseil fédéral précité, p. 6395 ; arrêt du Tribunal fédéral 7B_1025/2023 du 23 janvier 2024 consid. 3.2). Il est ainsi possible de se fonder sur les infractions faisant l'objet de la procédure pénale en cours pour retenir un risque de récidive, si le prévenu est fortement soupçonné – avec une probabilité confinant à la certitude – de les avoirs commises (ATF 143 IV 9 consid. 2.3.1).</w:t>
      </w:r>
    </w:p>
    <w:p>
      <w:r>
        <w:rPr>
          <w:b/>
        </w:rPr>
        <w:t>E. 5.2</w:t>
      </w:r>
    </w:p>
    <w:p>
      <w:r>
        <w:t>En l'occurrence, si le recourant conteste avoir touché le sexe de la plaignante et d'avoir forcé sexuellement qui que ce soit, il a admis, lors de ses auditions, avoir eu une addiction au sexe, qu'il estime désormais sous contrôle en raison du suivi psychiatrique qu'il a entamé en novembre 2023. Au vu des faits reprochés au recourant par la plaignante, voire par E______, et les situations problématiques dans lesquelles le recourant s'est retrouvé à plusieurs reprises avec des jeunes femmes, il y a lieu de retenir un risque de réitération, qui peut toutefois être pallié par le suivi thérapeutique déjà entamé, voire un suivi complémentaire en sexologie que le SPI – auquel le recourant sera soumis –, pourra le cas échéant proposer.</w:t>
      </w:r>
    </w:p>
    <w:p>
      <w:r>
        <w:rPr>
          <w:b/>
        </w:rPr>
        <w:t>E. 6</w:t>
      </w:r>
    </w:p>
    <w:p>
      <w:r>
        <w:t>Au vu des considérants qui précèdent, le recours sera admis et la libération du recourant ordonnée au profit des mesures de substitution précitées.</w:t>
      </w:r>
    </w:p>
    <w:p>
      <w:r>
        <w:rPr>
          <w:b/>
        </w:rPr>
        <w:t>E. 7</w:t>
      </w:r>
    </w:p>
    <w:p>
      <w:r>
        <w:t>L'admission du recours ne donne pas lieu au paiement de frais, qui seront laissés à la charge de l'État.</w:t>
      </w:r>
    </w:p>
    <w:p>
      <w:r>
        <w:rPr>
          <w:b/>
        </w:rPr>
        <w:t>E. 8</w:t>
      </w:r>
    </w:p>
    <w:p>
      <w:r>
        <w:t>Il n'y a pas lieu d'indemniser à ce stade (cf. art. 135 al. 2 CPP) le défenseur d'office, qui ne l'a du reste pas demandé. * * * * *</w:t>
      </w:r>
    </w:p>
    <w:p>
      <w:r>
        <w:t>- 11/12 - P/28142/2023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