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ACPR/231/2019 vom 29. Oktober 2018</w:t>
      </w:r>
    </w:p>
    <w:p>
      <w:r>
        <w:t>GE Cour de justice, 2018-10-29, FR</w:t>
      </w:r>
    </w:p>
    <w:p>
      <w:r>
        <w:rPr>
          <w:b/>
        </w:rPr>
        <w:t xml:space="preserve">Quelle: </w:t>
      </w:r>
      <w:r>
        <w:t>https://mcp.opencaselaw.ch/entscheid/ge_gerichte_ACPR_231_2019</w:t>
      </w:r>
    </w:p>
    <w:p>
      <w:r>
        <w:t>FR: GE_GERICHTE ACPR/231/2019 du 29 octobre 2018</w:t>
      </w:r>
    </w:p>
    <w:p>
      <w:r>
        <w:t>IT: GE_GERICHTE ACPR/231/2019 del 29 ottobre 2018</w:t>
      </w:r>
    </w:p>
    <w:p>
      <w:pPr>
        <w:pStyle w:val="Heading2"/>
      </w:pPr>
      <w:r>
        <w:t>Erwägungen</w:t>
      </w:r>
    </w:p>
    <w:p>
      <w:r>
        <w:rPr>
          <w:b/>
        </w:rPr>
        <w:t>E. 1</w:t>
      </w:r>
    </w:p>
    <w:p>
      <w:r>
        <w:t>Le recours a été déposé selon la forme et – faute de notification conforme à l'art. 85 al. 2 CPP – dans le délai prescrits (art. 385 al. 1 et 396 al. 1 CPP) et concerne une décision sujette à recours auprès de la Chambre de céans (art. 310 al. 2, 322 al. 2 et 393 al. 1 let. a CPP). On comprend des conclusions présentées qu'une instruction préliminaire devrait être ouverte, quand bien même l'autorité de recours n'a pas compétence pour la diriger elle-même et devrait mettre en œuvre le Ministère public si elle donnait gain de cause aux recourants (cf. art. 299 al. 1 CPP).</w:t>
      </w:r>
    </w:p>
    <w:p>
      <w:r>
        <w:rPr>
          <w:b/>
        </w:rPr>
        <w:t>E. 2</w:t>
      </w:r>
    </w:p>
    <w:p>
      <w:r>
        <w:t>Il apparaît d'emblée que C______, pour les motifs retenus par le Ministère public, auxquels il peut être renvoyé (art. 82 al. 4 CPP), n'est pas lésée par les actes reprochés à D______. C______ ne tente d'ailleurs pas de démontrer le contraire dans l'acte de recours. Il ressort même en toutes lettres de cette écriture (p. 3) que les recourants admettent qu'elle ne revêt ni la qualité de lésée ni de partie plaignante.</w:t>
      </w:r>
    </w:p>
    <w:p>
      <w:r>
        <w:rPr>
          <w:b/>
        </w:rPr>
        <w:t>E. 3</w:t>
      </w:r>
    </w:p>
    <w:p>
      <w:r>
        <w:t>B______ et C______ prétendent agir aussi en qualité de représentants des actionnaires mineurs de A______ S.A. [des enfants de B______]. Or, l'actionnaire n'est pas considéré comme directement lésé (art. 115 al. 1 CPP) par les actes touchant la personne morale (ATF 140 IV 155 consid. 3.3.1 p. 158; ACPR/158/2018). Le recours formé au nom des actionnaires, fussent-ils mineurs, est par conséquent irrecevable.</w:t>
      </w:r>
    </w:p>
    <w:p>
      <w:r>
        <w:t>- 4/8 - P/6254/2018</w:t>
      </w:r>
    </w:p>
    <w:p>
      <w:r>
        <w:rPr>
          <w:b/>
        </w:rPr>
        <w:t>E. 4</w:t>
      </w:r>
    </w:p>
    <w:p>
      <w:r>
        <w:t>Les faits et moyens de preuve nouveaux sont recevables devant l'autorité de recours (arrêts du Tribunal fédéral 1B_368/2014 du 5 février 2015 consid. 3.1 et 3.2; 1B_768/2012 du 15 janvier 2013 consid. 2.1). Les pièces nouvelles produites à l'appui du recours peuvent donc être prises en considération, dans la stricte mesure où elles se rapportent aux faits et infractions dénoncés.</w:t>
      </w:r>
    </w:p>
    <w:p>
      <w:r>
        <w:rPr>
          <w:b/>
        </w:rPr>
        <w:t>E. 5</w:t>
      </w:r>
    </w:p>
    <w:p>
      <w:r>
        <w:t>Les recourants, qui succombent dans toutes leurs conclusions, supporteront solidairement (art. 418 al. 2 CPP), les frais de l'État, fixés en totalité à CHF 2'000.- (art. 428 al. 1 CPP et 13 al. 1 du Règlement fixant le tarif des frais en matière pénale, RTFMP; E 4 10.03).</w:t>
      </w:r>
    </w:p>
    <w:p>
      <w:r>
        <w:t>- 7/8 - P/6254/2018</w:t>
      </w:r>
    </w:p>
    <w:p>
      <w:r>
        <w:rPr>
          <w:b/>
        </w:rPr>
        <w:t>E. 5.1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w:t>
      </w:r>
    </w:p>
    <w:p>
      <w:r>
        <w:t>- 5/8 - P/6254/2018 Commentaire romand : Code de procédure pénale suisse,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 entrée en matière existent lorsqu'il apparaît d'emblée que le comportement dénoncé n'est pas punissable (A. KUHN / Y. JEANNERET (éds), op. cit., n. 10 ad art. 310; DCPR/104/2011 du 11 mai 2011).</w:t>
      </w:r>
    </w:p>
    <w:p>
      <w:r>
        <w:rPr>
          <w:b/>
        </w:rPr>
        <w:t>E. 5.2</w:t>
      </w:r>
    </w:p>
    <w:p>
      <w:r>
        <w:t>En l'espèce, les pièces produites suffisent à montrer l'inanité des griefs soulevés, et l'on ne voit pas que les nombreux séquestres ou auditions sollicités étayeraient ceux- ci.</w:t>
      </w:r>
    </w:p>
    <w:p>
      <w:r>
        <w:rPr>
          <w:b/>
        </w:rPr>
        <w:t>E. 5.2.1</w:t>
      </w:r>
    </w:p>
    <w:p>
      <w:r>
        <w:t>La suppression de la signature individuelle de B______ sur une relation bancaire n'est pas, en tant que telle, la violation d'un devoir de gestion. Cette suppression ne semble même pas advenue. En effet, la pièce produite à cet égard (annexe n° 14 à la plainte pénale) atteste tout au plus que la mise en cause avait bloqué une carte et les accès informatiques de B______ et que des documents nécessaires pour que celui-ci ait une signature collective à deux n'avaient jamais été retournés à la banque. L'application de l'art. 158 CP requiert, en outre, que l'acte considéré ait causé un dommage patrimonial au détriment de la société, non de l'actionnaire. La recourante ne dit pas quel serait ce dommage.</w:t>
      </w:r>
    </w:p>
    <w:p>
      <w:r>
        <w:rPr>
          <w:b/>
        </w:rPr>
        <w:t>E. 5.2.2</w:t>
      </w:r>
    </w:p>
    <w:p>
      <w:r>
        <w:t>Rien n'accrédite une "annulation" du contrat de sous-location. Le conflit avec le bailleur, évoqué par la recourante, réside, à teneur de la pièce n° 16, dans l'opposition du bailleur principal au contrat de sous-location. Peu importe, dès lors, que la mise en cause ait raturé sa signature sur la copie du contrat jointe à la plainte (cf. annexe n° 15).</w:t>
      </w:r>
    </w:p>
    <w:p>
      <w:r>
        <w:rPr>
          <w:b/>
        </w:rPr>
        <w:t>E. 5.2.3</w:t>
      </w:r>
    </w:p>
    <w:p>
      <w:r>
        <w:t>On ne voit pas en quoi le congé donné au stagiaire aurait causé un dommage à la recourante, qui n'est même pas signataire du contrat passé avec lui (pièce n° 34). Aucune rémunération n'est prévue. Dans l'attestation signée par le stagiaire (pièce n° 33), on ne lit d'ailleurs pas de préjudice patrimonial pour lui – qui eût, alors, pu seul s'en plaindre, à l'exclusion, bien évidemment, de l'employeur –.</w:t>
      </w:r>
    </w:p>
    <w:p>
      <w:r>
        <w:rPr>
          <w:b/>
        </w:rPr>
        <w:t>E. 5.2.4</w:t>
      </w:r>
    </w:p>
    <w:p>
      <w:r>
        <w:t>Le grief relatif aux mouvements de fonds indu est particulièrement confus. Il portait initialement sur quelque CHF 37'000.-. La pièce n° 35 est un simple récapitulatif à cet égard. Aucune pièce bancaire ne l'assortit, à l'exception de deux avis de débit en faveur d'un tiers, mais dont on ne voit toutefois pas le lien avec la mise en cause. L'acte de recours n'est pas plus explicite. Le simple relevé 2017 des écritures sur le compte bancaire de la société (annexe n° 16 au recours), même mis en relation avec le</w:t>
      </w:r>
    </w:p>
    <w:p>
      <w:r>
        <w:t>- 6/8 - P/6254/2018 récapitulatif précité, ne démontre ni que la mise en cause serait à l'origine des prélèvements critiqués, ni qu'ils lui auraient indument profité. Or, c'était à la recourante de rendre ces aspects à tout le moins vraisemblables, y compris pour l'amplification du dommage portée dans le recours. Elle y échoue.</w:t>
      </w:r>
    </w:p>
    <w:p>
      <w:r>
        <w:rPr>
          <w:b/>
        </w:rPr>
        <w:t>E. 5.2.5</w:t>
      </w:r>
    </w:p>
    <w:p>
      <w:r>
        <w:t>La recourante n'explicite pas quel dommage patrimonial lui aurait causé la mise en cause en différant la convocation de l'assemblée générale extraordinaire. De toute façon, les pièces démentent plutôt toute volonté de la mise en cause de retarder l'événement. En effet, on constate, à la simple lecture des annexes nos 20 et 22 à la plainte, que la date prévue était le 18 septembre 2017, qu'elle convenait "tout à fait" à B______ et que la séance s'est tenue deux jours plus tard.</w:t>
      </w:r>
    </w:p>
    <w:p>
      <w:r>
        <w:rPr>
          <w:b/>
        </w:rPr>
        <w:t>E. 5.2.6</w:t>
      </w:r>
    </w:p>
    <w:p>
      <w:r>
        <w:t>La recourante n'a jamais détaillé quel mobilier aurait soustrait la mise en cause, qui conteste tout vol ou appropriation. Le grief n'est donc pas rendu vraisemblable. Il en va de même de la soustraction de données, car la loi exige que celles-ci n'aient pas été destinées à l'auteur de l'infraction (cf. art. 143 al. 1 CP). Or, à teneur de la plainte elle- même, la mise en cause était chargée de la clientèle et du paiement des fournisseurs. Celui qui, au bénéfice d'un mot de passe communiqué par son employeur, accède à des serveurs lui permettant de disposer de données spécifiques ne se rend pas coupable de soustraction de données, ceci à défaut de protection spécifique (arrêt du Tribunal cantonal valaisan du 19 mai 2005, in Revue valaisanne de jurisprudence 2006 p. 222). Quant au "vol" de dossiers, la seule cliente qui atteste que le sien s'était retrouvé dans l'entreprise de la mise en cause ajoute qu'elle l'a récupéré sur simple demande (pièce n° 25). Une volonté d'appropriation par la mise en cause (art. 139 CP) ne peut donc pas être retenue, sans même parler du dessein d'enrichissement illégitime.</w:t>
      </w:r>
    </w:p>
    <w:p>
      <w:r>
        <w:rPr>
          <w:b/>
        </w:rPr>
        <w:t>E. 5.2.7</w:t>
      </w:r>
    </w:p>
    <w:p>
      <w:r>
        <w:t>La recourante fait grief à la mise en cause d'avoir démarché sa clientèle au profit de l'entreprise qu'elle ouvrira par la suite. Mais elle n'allègue ni n'établit que son ancienne administratrice était liée à elle par une clause de non-concurrence si leurs relations cessaient. Le grief ne peut qu'être rejeté. 4. La non-entrée s'avère justifiée, et le recours totalement infondé. La Chambre de céans pouvait dès lors décider d'emblée de le traiter sans échange d'écritures ni débats (art. 390 al. 2 et 5 a contrario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