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ACPR/230/2021 vom 17. Februar 2021</w:t>
      </w:r>
    </w:p>
    <w:p>
      <w:r>
        <w:t>GE Cour de justice, 2021-02-17, FR</w:t>
      </w:r>
    </w:p>
    <w:p>
      <w:r>
        <w:rPr>
          <w:b/>
        </w:rPr>
        <w:t xml:space="preserve">Quelle: </w:t>
      </w:r>
      <w:r>
        <w:t>https://mcp.opencaselaw.ch/entscheid/ge_gerichte_ACPR_230_2021</w:t>
      </w:r>
    </w:p>
    <w:p>
      <w:r>
        <w:t>FR: GE_GERICHTE ACPR/230/2021 du 17 février 2021</w:t>
      </w:r>
    </w:p>
    <w:p>
      <w:r>
        <w:t>IT: GE_GERICHTE ACPR/230/2021 del 17 febbraio 2021</w:t>
      </w:r>
    </w:p>
    <w:p>
      <w:pPr>
        <w:pStyle w:val="Heading2"/>
      </w:pPr>
      <w:r>
        <w:t>Erwägungen</w:t>
      </w:r>
    </w:p>
    <w:p>
      <w:r>
        <w:rPr>
          <w:b/>
        </w:rPr>
        <w:t>E. 1.1</w:t>
      </w:r>
    </w:p>
    <w:p>
      <w:r>
        <w:t>Le recours est recevable pour avoir été déposé selon la forme et – faute de respect des réquisits de l’art. 85 al. 2 CPP –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t>- 6/10 - P/14471/2020</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reproche au Ministère public d’avoir refusé d’entrer en matière sur sa plainte.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w:t>
      </w:r>
    </w:p>
    <w:p>
      <w:r>
        <w:rPr>
          <w:b/>
        </w:rPr>
        <w:t>E. 3.2</w:t>
      </w:r>
    </w:p>
    <w:p>
      <w:r>
        <w:t>Une telle ordonnance s'impose notamment lorsque le litige est de nature purement civile (ATF 137 IV 285 consid. 2.3). 3.3.1. La LCD vise à garantir, dans l'intérêt de toutes les parties concernées, une concurrence loyale et qui ne soit pas faussée (art. 1 LCD). Est déloyal et illicite tout comportement ou pratique commercial qui est trompeur ou qui contrevient de toute autre manière aux règles de la bonne foi et qui influe sur les rapports entre concurrents ou entre fournisseurs et clients (art. 2 LCD). Agit de façon déloyale celui qui, notamment, prend des mesures qui sont de nature à faire naître une confusion avec les marchandises, les œuvres, les prestations ou les affaires d'autrui (art. 3 al. 1 let. d LCD). Le comportement visé par cette disposition suppose qu'un risque de confusion soit créé dans la perspective du public entre deux prestations, par l'emprunt à la prestation originale d'un de ses signes distinctifs protégés (V. MARTENET / P. PICHONNAZ (éds), Commentaire romand : Loi contre la concurrence déloyale, 2017, n. 12 ad art. 3 al. 1 let. d LCD).</w:t>
      </w:r>
    </w:p>
    <w:p>
      <w:r>
        <w:t>- 7/10 - P/14471/2020 3.3.2. La notion de danger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Savoir si deux signes distinctifs se distinguent clairement se détermine sur la base de l'impression d'ensemble qu'elle donne au public et non sur un cercle de personnes disposant de connaissances spécifiques à un secteur particulier. Les signes ne doivent pas seulement se différencier par une comparaison attentive de leurs éléments, mais aussi par le souvenir qu'ils peuvent laisser (ATF 131 III 572 consid. 3; 128 III 353 consid. 3; 128 III 401 consid. 5; 127 III 160 consid. 2a et 2b/bb, JdT 2001 I p. 345). L'usage du nom d'autrui - personne physique ou morale - fait l'objet d'une protection légale spécifique (art. 29, 53 du code civil suisse du 10 décembre 1907 [CC ; RS 210]). Il en va de même, pour les personnes morales qui peuvent (doivent) en disposer, de l'usage d'une raison sociale (cf. art. 956 de la loi fédérale du 30 mars 1911 complétant le code civil suisse [CO ; RS 220]). Sous l'angle de la concurrence déloyale, il va aussi de soi que l'usage du nom d'un concurrent - personne physique ou morale - pour la caractérisation de son propre produit peut créer un risque de confusion. Le nom constitue en effet le signe distinctif par excellence, qui peut d'ailleurs régulièrement prétendre au rang de marque. (V. MARTENET / P. PICHONNAZ, op.cit, p.132, N 79 ad art. 3 al. 1 let. d et références citées). La protection est déclenchée par la première utilisation effective du nom sur le marché. Les protections conférées par le droit du nom et celui de la raison sociale déploient leurs effets concurremment à celle de l'art. 3 al. 1 let. d LCD. L'entreprise inscrite au registre du commerce peut ainsi, en cas d'usage par autrui d'éléments de sa raison sociale ou de signes de nature à créer la confusion avec elle, se prévaloir des dispositions de la LCD, de l'art. 956 CO, voire de la Loi sur la protection des marques cumulativement (V. MARTENET / P. PICHONNAZ, op. cit., p.132, N 80- 81 ad art. 3 al. 1 let. d et références citées).</w:t>
      </w:r>
    </w:p>
    <w:p>
      <w:r>
        <w:rPr>
          <w:b/>
        </w:rPr>
        <w:t>E. 3.4</w:t>
      </w:r>
    </w:p>
    <w:p>
      <w:r>
        <w:t>Selon l’art. 5 LPM, le droit à la marque prend naissance par l’enregistrement.</w:t>
      </w:r>
    </w:p>
    <w:p>
      <w:r>
        <w:rPr>
          <w:b/>
        </w:rPr>
        <w:t>E. 3.5</w:t>
      </w:r>
    </w:p>
    <w:p>
      <w:r>
        <w:t>L’art. 23 LCD permet le prononcé de sanctions pénales contre des actes de concurrence déloyale définis aux art. 3 à 6 de cette loi. Les infractions réprimées par l’art. 23 LCD supposent que l’auteur ait agi intentionnellement. L’intention, qui peut aussi consister en un dol éventuel, doit porter sur l’acte lui-même et sur tous les éléments constitutifs objectifs de l’infraction (M. PEDRAZZINI / F. PEDRAZZINI, Unlauterer Wettbewerb UWG, 2e édition, Berne 2002, n. 26.05 p. 321). Les dispositions pénales de la LCD doivent toutefois être interprétées de manière restrictive (arrêt du Tribunal fédéral 6B_156/2012 du 11 octobre 2012 et les références jurisprudentielles et doctrinales citées). La qualité pour déposer plainte correspond à la qualité pour intenter une action civile selon les articles 9 et 10 (art.</w:t>
      </w:r>
    </w:p>
    <w:p>
      <w:r>
        <w:t>- 8/10 - P/14471/2020 23 al. 2 LCD), à savoir par celui qui, par un acte de concurrence déloyale, subit une atteinte, notamment, dans sa réputation professionnelle, ses affaires ou ses intérêts économiques en général.</w:t>
      </w:r>
    </w:p>
    <w:p>
      <w:r>
        <w:rPr>
          <w:b/>
        </w:rPr>
        <w:t>E. 3.6</w:t>
      </w:r>
    </w:p>
    <w:p>
      <w:r>
        <w:t>En l’espèce, la recourante ne saurait se plaindre d’une violation de la LPM dans la mesure où, à teneur du registre Swissreg, elle n’est pas enregistrée en tant que marque auprès de l’Institut fédéral de la propriété intellectuelle. S’agissant d’une éventuelle infraction à la LCD, la question de la qualité pour agir du recourant et du respect du délai de plainte peut rester ouverte compte tenu de ce qui suit. Bien que le mis en cause ne paraisse pas avoir choisi le nom de sa société par hasard – celui-ci connaissant manifestement la recourante, avec qui il avait déjà travaillé par le passé –, il n’a fait qu’enregistrer sa société auprès du Registre du commerce, exposant ne pas avoir eu de client en raison de la pandémie – ce que la recourante ne conteste pas, vu le contexte sanitaire –. Il s’ensuit qu’en l’état, aucune confusion ne parait être effectivement survenue. La recourante allègue d’ailleurs n'avoir subi aucun dommage concret. Faute de soupçon pénal, il n'y a donc pas à considérer sa prétention civile tendant au remboursement de la somme de CHF 52'000.-. Au vu de ce qui précède, le litige semble donc avant tout relever de la justice civile, de sorte que le Ministère public était fondé à rendre une ordonnance de non-entrée en matière.</w:t>
      </w:r>
    </w:p>
    <w:p>
      <w:r>
        <w:rPr>
          <w:b/>
        </w:rPr>
        <w:t>E. 4</w:t>
      </w:r>
    </w:p>
    <w:p>
      <w:r>
        <w:t>Justifiée, l’ordonnance querellée sera donc confirmée.</w:t>
      </w:r>
    </w:p>
    <w:p>
      <w:r>
        <w:rPr>
          <w:b/>
        </w:rPr>
        <w:t>E. 5</w:t>
      </w:r>
    </w:p>
    <w:p>
      <w:r>
        <w:t>La recourante, qui succombe, supportera les frais envers l'État, qui seront fixés en totalité à CHF 1’000.- (art. 428 al. 1 CPP et 13 al. 1 du Règlement fixant le tarif des frais en matière pénale, RTFMP ; E 4 10.03). * * * * *</w:t>
      </w:r>
    </w:p>
    <w:p>
      <w:r>
        <w:t>- 9/10 - P/14471/2020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