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ACPR/229/2025 vom 21. Januar 2025</w:t>
      </w:r>
    </w:p>
    <w:p>
      <w:r>
        <w:t>GE Cour de justice, 2025-01-21, FR</w:t>
      </w:r>
    </w:p>
    <w:p>
      <w:r>
        <w:rPr>
          <w:b/>
        </w:rPr>
        <w:t xml:space="preserve">Quelle: </w:t>
      </w:r>
      <w:r>
        <w:t>https://mcp.opencaselaw.ch/entscheid/ge_gerichte_ACPR_229_2025</w:t>
      </w:r>
    </w:p>
    <w:p>
      <w:r>
        <w:t>FR: GE_GERICHTE ACPR/229/2025 du 21 janvier 2025</w:t>
      </w:r>
    </w:p>
    <w:p>
      <w:r>
        <w:t>IT: GE_GERICHTE ACPR/229/2025 del 21 gennaio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société plaignante qui, partie à la procédure (art. 104 al. 1 let. b CPP), a qualité pour agir, ayant un intérêt juridiquement protégé à la modification ou à l'annulation de la décision querellée, un renvoi étant fait à cet égard aux ch. 1.2 et 1.3 développés infra (art. 382 al. 1 CPP; ATF 118 IV 209 consid. 2 et 3; arrêt du Tribunal fédéral 7B_11/2023 du 27 septembre 2023 consid. 3.2.2.). 1.2.1.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148 IV 170 consid. 3.3.1; arrêt du Tribunal fédéral 1B_418/2022 du 17 janvier 2023 consid. 3.1). 1.2.2. En l'espèce, en tant que les infractions alléguées visent le patrimoine de la société A______ SA, seule celle-ci a la qualité de lésée et donc la qualité pour recourir contre la décision de non-entrée en matière entreprise.</w:t>
      </w:r>
    </w:p>
    <w:p>
      <w:r>
        <w:rPr>
          <w:b/>
        </w:rPr>
        <w:t>E. 1.3</w:t>
      </w:r>
    </w:p>
    <w:p>
      <w:r>
        <w:t>Au surplus, la recourante, en tant que société mandante, ne conteste pas l'ordonnance querellée en tant qu'elle écarte la violation du secret professionnel par les mis en cause (art. 321 CP), de sorte qu'il n'y a pas lieu de revenir sur la réalisation éventuelle des éléments constitutifs de cette infraction. Un simple renvoi général à la plainte en tête du recours, sans développer de griefs au fond, n'est pas suffisant (arrêt du Tribunal fédéral 7B_373/2024 du 8 janvier 2025 consid. 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3.1.1.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w:t>
      </w:r>
    </w:p>
    <w:p>
      <w:r>
        <w:t>- 12/17 - P/18210/2024 ne soit manifestement pas réalisé pour que la non-entrée en matière se justifie (Y. JEANNERET / A. KUHN / C. PERRIER DEPEURSINGE [éds], Commentaire romand : Code de procédure pénale suisse, 2ème éd., Bâle 2019, n. 8 ad art. 310). 3.1.2. Une non-entrée en matière s'impose lorsque le litige est de nature purement civile (ATF 137 IV 285 consid. 2.3). 3.1.3. Aux termes de l'art. 31 CP, le droit de porter plainte se prescrit par trois mois (1ère phr.). Le délai court du jour où l'ayant droit a connu l'auteur de l'infraction (2ème phr.). 3.2.1. Commet un abus de confiance, au sens de l'art. 138 ch. 1 al. 2 CP,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arrêts du Tribunal fédéral 6B_279/2017 du 23 janvier 2018 consid. 2.1; 6B_20/2017 du</w:t>
      </w:r>
    </w:p>
    <w:p>
      <w:r>
        <w:rPr>
          <w:b/>
        </w:rPr>
        <w:t>E. 3.3</w:t>
      </w:r>
    </w:p>
    <w:p>
      <w:r>
        <w:t>En sa qualité de mandataire, l'avocat est tenu à la bonne et fidèle exécution du mandat (art. 398 al. 2 CO). Il doit notamment informer de manière détaillée son mandant des difficultés, des chances de succès et des risques, y compris financiers, que comporte l'affaire afin que celui-ci soit conscient du risque qu'il encourt (ATF 127 III 357 consid. 1d; 115 II 62 consid. 3a; arrêts du Tribunal fédéral 2C_233/2021 du 8 juillet 2021 consid. 3.1; 4A_550/2018 du 29 mai 2019 consid. 4.1; FRANZ WERRO, in Commentaire romand, Code des obligations I, t. II, 3e éd. 2021, no 17 ad art. 398 CO).</w:t>
      </w:r>
    </w:p>
    <w:p>
      <w:r>
        <w:t>- 14/17 - P/18210/2024 L'avocat ne répond pas des risques spécifiques qui sont liés à la formation et à la reconnaissance d'une opinion juridique déterminée. En particulier, il ne saurait voir sa responsabilité engagée pour chaque mesure ou omission dont il s'avère a posteriori qu'elle a provoqué le dommage ou qui aurait pu éviter sa survenance. C'est aux parties de supporter les risques du procès; elles ne peuvent pas les transférer sur les épaules de leur conseil (ATF 134 III 354 consid. 3.2.2; 127 III 357 consid. 1b; 117 II 563 consid. 2a).</w:t>
      </w:r>
    </w:p>
    <w:p>
      <w:r>
        <w:rPr>
          <w:b/>
        </w:rPr>
        <w:t>E. 3.4</w:t>
      </w:r>
    </w:p>
    <w:p>
      <w:r>
        <w:t>En l'espèce, au vu notamment des procurations signées, il apparaît que les mis en cause ont été mandatés, en leur qualité d'avocats, pour conseiller et défendre les intérêts de la société A______ SA dans le cadre de la procédure d'imposition du tabac pour pipe à eau, puis de la procédure administrative l'opposant à l'AFD, c'est-à-dire pour déployer une activité typique de leur profession. Aucun élément au dossier ne permet de retenir que, dans ce cadre, des valeurs patrimoniales appartenant à A______ SA auraient été confiées aux mis en cause, ni qu'ils se seraient vu accorder par les plaignants un pouvoir de gestion et de disposition autonome sur le patrimoine de la précitée, de sorte que les éléments constitutifs des infractions d'abus de confiance et de gestion déloyale font défaut. La recourante se méprend lorsqu'elle tente de faire supporter aux mis en cause, sous l'angle de ces dispositions, les éventuelles conséquences indirectes de l'issue des procédures menées sur son patrimoine. Rien ne permet par ailleurs de considérer que B______, en sa qualité d'unique administrateur de la société, aurait été trompé, encore moins de manière astucieuse, par les mis en cause et que ces derniers se seraient, de la sorte, enrichis de manière illégitime. Il ressort au contraire du dossier, en particulier des courriels produits, que les mandataires ont régulièrement tenu informé B______ des démarches entreprises et du suivi de la procédure. Ils lui ont notamment soumis la stratégie adoptée (pièce 47) et lui ont remis copie des actes essentiels rédigés ainsi que des décisions rendues dans le cadre du litige visé, à la lecture desquels les quantités de marchandises concernées étaient clairement indiquées. Les avocats ont, à plusieurs reprises, attiré l'attention de B______ sur les faibles chances de succès des démarches entreprises pour obtenir, in fine, le dédouanement de l'intégralité de la marchandise commandée par A______ SA au taux applicable avant la modification législative (pièces 49-51) et il a lui-même décidé de les continuer (pièce 51). Dès lors, B______ ne saurait être suivi lorsqu'il allègue, à présent, des difficultés de compréhension dont les mis en cause auraient profité des années plus tôt. En tout état de cause, des explications lui ont été fournies par téléphone, par les avocats concernés, et, s'il ne comprenait pas le contenu des écrits, il aurait été en mesure d'obtenir de l'aide pour ce faire et ainsi vérifier leurs démarches en temps opportun. Il n'apparaît en outre pas que les mis en cause et/ou un tiers se seraient enrichis de manière illicite, étant relevé que leurs honoraires résultaient des démarches entreprises</w:t>
      </w:r>
    </w:p>
    <w:p>
      <w:r>
        <w:t>- 15/17 - P/18210/2024 au su de la mandante (pièce 49) et que la taxation réclamée par l'AFD à la société pour l'importation de sa marchandise résulte de la loi. Dans ces circonstances, les éléments constitutifs de l'escroquerie et de l'atteinte astucieuse aux intérêts pécuniaires d'autrui n'apparaissent pas plus réalisés. Au demeurant, eu égard à cette dernière infraction, poursuivie uniquement sur plainte (art. 151 CP), il existe effectivement un empêchement de procéder. En effet, les faits reprochés s'étant déroulés entre mai 2015 et avril 2019, la plainte pénale déposée de ce chef le 1er août 2024 est manifestement tardive. À cet égard, tel qu'observé précédemment, dans la mesure où B______ avait été régulièrement tenu informé des démarches entreprises par les mis en cause et avait décidé de les poursuivre, il ne saurait être suivi lorsqu'il prétend n'en avoir saisi la portée qu'en mai 2024 avec l'aide de proches. Il a, par ailleurs, vraisemblablement dû en conférer avec le nouvel avocat mandaté en avril 2019. Enfin, rien ne permet de soupçonner que les mis en cause se seraient rendus coupables de corruption passive, en agissant au détriment des intérêts de la recourante sur consigne et/ou au profit d'un tiers, de sorte qu'il n'y avait pas lieu d'ouvrir une instruction sur ce point. Partant, les éléments constitutifs d'aucune des infractions dénoncées n'apparaissent réalisés. Au surplus, la recourante concède elle-même qu'il apparaît "peu probable" que ses mandataires auraient volontairement agi de manière contraire à ses intérêts. Et la participation d'un tiers a été exclue ci-dessus. Le litige apparaît, tout au plus, de nature civile. C'est ainsi à bon droit que le Ministère public a refusé d'entrer en matière sur la plainte visée. 4. Justifiée, l'ordonnance querellée sera donc confirmée. 5. Les recourants, qui succombent, supporteront les frais envers l’État (art. 428 al. 1 CPP) qui seront fixés à CHF 1'500.- en totalité, émolument de décision inclus (art. 3 cum art. 13 al. 1 Règlement fixant le tarif des frais en matière pénale [RTFMP; E 4 10 03]), somme qui sera prélevée sur le montant des sûretés versées (art. 383 CPP). * * * * *</w:t>
      </w:r>
    </w:p>
    <w:p>
      <w:r>
        <w:t>- 16/17 - P/18210/2024</w:t>
      </w:r>
    </w:p>
    <w:p>
      <w:r>
        <w:rPr>
          <w:b/>
        </w:rPr>
        <w:t>E. 6</w:t>
      </w:r>
    </w:p>
    <w:p>
      <w:r>
        <w:t>septembre 2017 consid. 5.2; 6B_356/2016 du 6 mars 2017 consid. 2.1). 3.2.2. La gestion déloyale, selon l'art. 158 al. 1 CP, réprime le comportement de quiconque, en vertu de la loi, d’un mandat officiel ou d’un acte juridique, est tenu de gérer les intérêts pécuniaires d’autrui ou de veiller sur leur gestion et qui, en violation de ses devoirs, porte atteinte à ces intérêts ou permet qu’ils soient lésés.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3.2.3. Se rend coupable d'escroquerie d'après l'art. 146 al. 1 CP quiconque, dans le dessein de se procurer ou de procurer à un tiers un enrichissement illégitime, induit</w:t>
      </w:r>
    </w:p>
    <w:p>
      <w:r>
        <w:t>- 13/17 - P/18210/2024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arrêt du Tribunal fédéral 6B_1180/2020 du 10 juin 2021 consid. 2.2). 3.2.4. Commet une atteinte astucieuse aux intérêts pécuniaires d'autrui, au sens de l'art. 151 CP, quiconque, sans dessein d'enrichissement, induit astucieusement en erreur une personne par des affirmations fallacieuses ou par la dissimulation de faits vrais ou la conforte astucieusement dans son erreur et la détermine ainsi à des actes préjudiciables à ses intérêts pécuniaires ou à ceux d'un tiers, l'infraction étant punie sur plainte. 3.2.5. La corruption privée passive, selon l'art. 322novies CP, vise le comportement de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