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ACPR/228/2022 vom 30. September 2021</w:t>
      </w:r>
    </w:p>
    <w:p>
      <w:r>
        <w:t>GE Cour de justice, 2021-09-30, FR</w:t>
      </w:r>
    </w:p>
    <w:p>
      <w:r>
        <w:rPr>
          <w:b/>
        </w:rPr>
        <w:t xml:space="preserve">Quelle: </w:t>
      </w:r>
      <w:r>
        <w:t>https://mcp.opencaselaw.ch/entscheid/ge_gerichte_ACPR_228_2022</w:t>
      </w:r>
    </w:p>
    <w:p>
      <w:r>
        <w:t>FR: GE_GERICHTE ACPR/228/2022 du 30 septembre 2021</w:t>
      </w:r>
    </w:p>
    <w:p>
      <w:r>
        <w:t>IT: GE_GERICHTE ACPR/228/2022 del 30 settembre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Les pièces nouvelles produites par la recourante devant la Chambre de céans sont également recevables (arrêt du Tribunal fédéral 1B_368/2014 du 5 février 2015 consid. 3.1 et 3.2).</w:t>
      </w:r>
    </w:p>
    <w:p>
      <w:r>
        <w:rPr>
          <w:b/>
        </w:rPr>
        <w:t>E. 3</w:t>
      </w:r>
    </w:p>
    <w:p>
      <w:r>
        <w:t>La recourante reproche au Ministère public de ne pas être entré en matière sur sa plainte pénale.</w:t>
      </w:r>
    </w:p>
    <w:p>
      <w:r>
        <w:rPr>
          <w:b/>
        </w:rPr>
        <w:t>E. 3.1</w:t>
      </w:r>
    </w:p>
    <w:p>
      <w:r>
        <w:t>Aux termes de l'art. 310 al. 1 let. a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réunis. Cette disposition doit être appliquée conformément au principe "in dubio pro duriore", tel qu'il découle du principe de la légalité (art. 5 al. 1 Cst. et 2 al. 1 CPP en relation avec les art. 309 al. 1, 319 al. 1 et 324 CPP; ATF 138 IV 86 consid. 4.2 p. 91). Ce principe signifie qu'en règle générale, une non-entrée en matière ne peut être prononcée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p. 243; 138 IV 86 consid. 4.1.2 p. 91 et les références citées).</w:t>
      </w:r>
    </w:p>
    <w:p>
      <w:r>
        <w:t>- 5/8 - P/24361/2020</w:t>
      </w:r>
    </w:p>
    <w:p>
      <w:r>
        <w:rPr>
          <w:b/>
        </w:rPr>
        <w:t>E. 3.2</w:t>
      </w:r>
    </w:p>
    <w:p>
      <w:r>
        <w:t>La LCD vise à garantir, dans l'intérêt de toutes les parties concernées, une concurrence loyale et qui ne soit pas faussée (art. 1 LCD). Elle ne concerne ainsi que le domaine de la concurrence. Cette notion vise une compétition, une rivalité sur le plan économique entre des personnes qui offrent des prestations.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de clients. L'acte doit être objectivement propre à avantager ou à désavantager une entreprise dans sa lutte pour acquérir de la clientèle, ou à accroître ou diminuer ses parts de marché. Il doit être dirigé contre le jeu normal de la concurrence et propre à influencer le marché; il doit être objectivement apte à influencer la concurrence. La LCD ne protège donc pas la bonne foi de manière générale, mais tend seulement à garantir une concurrence loyale.</w:t>
      </w:r>
    </w:p>
    <w:p>
      <w:r>
        <w:rPr>
          <w:b/>
        </w:rPr>
        <w:t>E. 3.3</w:t>
      </w:r>
    </w:p>
    <w:p>
      <w:r>
        <w:t>Selon l'art. 4 let. a LCD, agit de façon déloyale celui qui, notamment, incite un client à rompre un contrat en vue d'en conclure un autre avec lui. On ne peut toutefois parler de rupture de contrat au sens de cette disposition que lorsqu'un contrat est violé (ATF 133 III 431 consid. 4.5 p. 437; 129 II 497 consid. 6.5.6 p. 541).</w:t>
      </w:r>
    </w:p>
    <w:p>
      <w:r>
        <w:rPr>
          <w:b/>
        </w:rPr>
        <w:t>E. 3.4</w:t>
      </w:r>
    </w:p>
    <w:p>
      <w:r>
        <w:t>En l'espèce, la recourante reproche au mis en cause d'avoir, pour le compte de C______ SÀRL, incité D______ SA à rompre son contrat de bail conclu avec elle et cherché à en faire de même avec E______ SA, en violation de l'art. 4 let. a LCD. La réalisation de cette infraction impliquerait, en amont, une rupture des contrats en question, au sens de la LCD. Or, tel n'est pas le cas. La société propriétaire de l'immeuble sis 1______, où se situe l'enseigne de toiture, a résilié son contrat avec la recourante pour l'échéance contractuelle, avec un préavis de six mois. En cela, cette résiliation ne constitue pas une violation du contrat au sens de la LCD, nonobstant l'absence de formule officielle. La situation contractuelle entre la recourante et E______ SA, tant avant les faits dénoncés qu'après, est quant à elle indéterminée. Si l'on comprend que la relation d'affaire entre les deux, portant sur l'enseigne sis au 1______, prendra fin concurremment avec le terme du bail, il n'apparaît nulle part que E______ SA aurait rompu – ou s'apprêterait à le faire – ses relations contractuelles avec la recourante de manière prématurée ou contraire au droit. Ainsi, indépendamment de la teneur des discussions intervenues entre le mis en cause, d'une part, et D______ SA, voire E______ SA, d'autre part, celles-ci n'ont pas conduit à une rupture de contrats en défaveur de la recourante, élément nécessaire pour que l'art. 4 let. a LCD s'applique.</w:t>
      </w:r>
    </w:p>
    <w:p>
      <w:r>
        <w:t>- 6/8 - P/24361/2020 Tenant compte de ce qui précède, aucune prévention pénale d'une incitation à rompre un contrat, contraire à la LCD, n'apparaît fondée. Les griefs soulevés par la recourante ne sont pas de nature à contredire ce constat. En outre, elle n'allègue pas qu'une autre infraction à cette loi serait réalisée et le dossier n'offre, de toute manière, pas d'assise en ce sens.</w:t>
      </w:r>
    </w:p>
    <w:p>
      <w:r>
        <w:rPr>
          <w:b/>
        </w:rPr>
        <w:t>E. 4</w:t>
      </w:r>
    </w:p>
    <w:p>
      <w:r>
        <w:t>Justifiée, l'ordonnance querellée sera donc confirmée.</w:t>
      </w:r>
    </w:p>
    <w:p>
      <w:r>
        <w:rPr>
          <w:b/>
        </w:rPr>
        <w:t>E. 5</w:t>
      </w:r>
    </w:p>
    <w:p>
      <w:r>
        <w:t>La recourante, qui succombe, supportera les frais envers l'État, fixés en totalité à CHF 900.- (art. 428 al. 1 CPP et 13 al. 1 du Règlement fixant le tarif des frais en matière pénale, RTFMP ; E 4 10.03), émolument de décision compris. * * * * *</w:t>
      </w:r>
    </w:p>
    <w:p>
      <w:r>
        <w:t>- 7/8 - P/24361/2020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