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ACPR/225/2020 vom 23. September 2019</w:t>
      </w:r>
    </w:p>
    <w:p>
      <w:r>
        <w:t>GE Cour de justice, 2019-09-23, FR</w:t>
      </w:r>
    </w:p>
    <w:p>
      <w:r>
        <w:rPr>
          <w:b/>
        </w:rPr>
        <w:t xml:space="preserve">Quelle: </w:t>
      </w:r>
      <w:r>
        <w:t>https://mcp.opencaselaw.ch/entscheid/ge_gerichte_ACPR_225_2020</w:t>
      </w:r>
    </w:p>
    <w:p>
      <w:r>
        <w:t>FR: GE_GERICHTE ACPR/225/2020 du 23 septembre 2019</w:t>
      </w:r>
    </w:p>
    <w:p>
      <w:r>
        <w:t>IT: GE_GERICHTE ACPR/225/2020 del 23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Invoquant une violation de son droit d'être entendue (art. 6 CEDH et 29 al. 2 Cst.), la recourante conteste le rejet de ses réquisitions de preuves.</w:t>
      </w:r>
    </w:p>
    <w:p>
      <w:r>
        <w:rPr>
          <w:b/>
        </w:rPr>
        <w:t>E. 2.1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En procédure pénale, l'art. 318 al. 2 CPP prévoit que le ministère public peut écarter une réquisition de preuves si celle-ci porte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p. 64).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w:t>
      </w:r>
    </w:p>
    <w:p>
      <w:r>
        <w:t>- 9/10 - P/6341/2018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2.2</w:t>
      </w:r>
    </w:p>
    <w:p>
      <w:r>
        <w:t>En l'espèce, le Ministère public n'a procédé à aucun acte contradictoire et n'a jamais entendu la recourante, plaignante, qui n'a pu s'exprimer que par écrit, ni n'a procédé à des confrontations ou interrogé le prévenu B______ sur les contradictions et les incohérences de sa déposition, s'agissant notamment des flux financiers, de l'importance des montants reçus au regard de la taille de la société, de leur destination et de la raison de l'augmentation considérable du découvert, comme des raisons du défaut de tenue d'une comptabilité commerciale ou de la disparition des toute pièce justificative. Or, au vu de certains arguments exposés, tels que les discussions précontractuelles, notamment le procès-verbal de pré-adjudication du 16 juin 2016, établi en présence dudit prévenu, il apparaît nécessaire d'instruire cette cause et en tout cas prématuré de considérer que les conditions d'un classement sont réunies. Dans ces circonstances, le Ministère eût dû entendre à tout le moins la représentante du bureau d'architecte en charge du chantier et procéder à une confrontation des parties, vice que les écritures de la recourante n'ont pu réparer.</w:t>
      </w:r>
    </w:p>
    <w:p>
      <w:r>
        <w:rPr>
          <w:b/>
        </w:rPr>
        <w:t>E. 3</w:t>
      </w:r>
    </w:p>
    <w:p>
      <w:r>
        <w:t>L'admission du recours ne donne pas lieu à la perception de frais (art. 428 al. 1 CPP).</w:t>
      </w:r>
    </w:p>
    <w:p>
      <w:r>
        <w:rPr>
          <w:b/>
        </w:rPr>
        <w:t>E. 4</w:t>
      </w:r>
    </w:p>
    <w:p>
      <w:r>
        <w:t>La recourante, partie plaignante qui a gain de cause, a conclu à une équitable indemnité valant participation aux honoraires de son avocat. Faute pour elle d'avoir justifié et chiffré cette prétention, il n'y a pas à entrer en matière (art. 433 al. 2 CPP). * * * * *</w:t>
      </w:r>
    </w:p>
    <w:p>
      <w:r>
        <w:t>- 10/10 - P/6341/2018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