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ACPR/224/2024 vom 23. November 2023</w:t>
      </w:r>
    </w:p>
    <w:p>
      <w:r>
        <w:t>GE Cour de justice, 2023-11-23, FR</w:t>
      </w:r>
    </w:p>
    <w:p>
      <w:r>
        <w:rPr>
          <w:b/>
        </w:rPr>
        <w:t xml:space="preserve">Quelle: </w:t>
      </w:r>
      <w:r>
        <w:t>https://mcp.opencaselaw.ch/entscheid/ge_gerichte_ACPR_224_2024</w:t>
      </w:r>
    </w:p>
    <w:p>
      <w:r>
        <w:t>FR: GE_GERICHTE ACPR/224/2024 du 23 novembre 2023</w:t>
      </w:r>
    </w:p>
    <w:p>
      <w:r>
        <w:t>IT: GE_GERICHTE ACPR/224/2024 del 23 novembre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recourante n'a cependant pas d'intérêt juridique à contester que les frais de la procédure de première instance soient laissés à la charge de l'État. Le recours est donc irrecevable sur ce point.</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w:t>
      </w:r>
    </w:p>
    <w:p>
      <w:r>
        <w:t>- 8/11 - P/13532/2021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arrêt du Tribunal fédéral 6B_196/2020 précité).</w:t>
      </w:r>
    </w:p>
    <w:p>
      <w:r>
        <w:rPr>
          <w:b/>
        </w:rPr>
        <w:t>E. 2.2</w:t>
      </w:r>
    </w:p>
    <w:p>
      <w:r>
        <w:t>Se rend coupable d'abus de confiance au sens de l'art. 138 ch. 1 al. 1 CP, quiconque, pour se procurer ou procurer à un tiers un enrichissement illégitime, s’approprie une chose mobilière appartenant à autrui et qui lui a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121 IV 25 consid. 1c p. 25; 118 IV 148 consid. 2a p. 151 s.; arrêt du Tribunal fédéral 6B_1268/2018 du 15 février 2019 consid. 2.2). À titre d'exemple, il y a déjà appropriation dès lors que l'auteur offre à la vente la chose confiée et non seulement lorsque la chose est effectivement vendue. Selon la jurisprudence, l'organe d'une personne morale se voit confier les choses qui lui sont remises au nom de la société au sens de cette disposition (ATF 106 IV 20 consid. 2b; arrêts du Tribunal fédéral 6B_292/2019 du 25 juin 2019 consid. 2.2.2; 6B_1360/2019 du 20 novembre 2020 consid. 2.4; A. DONATSCH, StGB/JStG Kommentar, 21ème éd. 2022, n. 4 ad art. 138 CP).</w:t>
      </w:r>
    </w:p>
    <w:p>
      <w:r>
        <w:t>- 9/11 - P/13532/2021</w:t>
      </w:r>
    </w:p>
    <w:p>
      <w:r>
        <w:rPr>
          <w:b/>
        </w:rPr>
        <w:t>E. 2.3</w:t>
      </w:r>
    </w:p>
    <w:p>
      <w:r>
        <w:t>Selon l'art. 137 ch. 1 CP, commet un acte d'appropriation illégitime, quiconque, pour se procurer ou procurer à un tiers un enrichissement illégitime, s'approprie une chose mobilière appartenant à autrui. Cette disposition est subsidiaire à l'abus de confiance.</w:t>
      </w:r>
    </w:p>
    <w:p>
      <w:r>
        <w:rPr>
          <w:b/>
        </w:rPr>
        <w:t>E. 2.4</w:t>
      </w:r>
    </w:p>
    <w:p>
      <w:r>
        <w:t>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(art. 158 ch. 1 al. 1 CP). Ce n'est pas la violation de n'importe quelle obligation de diligence relative à tout ou partie du patrimoine d'autrui qui est sanctionnée, mais seulement celle qui est attachée à une gestion; il ne suffit ainsi pas que l'auteur ait eu l'obligation contractuelle de veiller sur le patrimoine d'autrui, il faut encore qu'il ait eu la position de gérant; seul peut avoir la position de gérant celui qui dispose d'une indépendance suffisante et qui jouit d'un pouvoir de disposition autonome sur les biens qui lui sont soumis (ATF 123 IV 17 consid. 3b; 120 IV 190 consid. 2b; 118 IV 244).</w:t>
      </w:r>
    </w:p>
    <w:p>
      <w:r>
        <w:rPr>
          <w:b/>
        </w:rPr>
        <w:t>E. 2.5</w:t>
      </w:r>
    </w:p>
    <w:p>
      <w:r>
        <w:t>Selon l'art. 29 CP, un devoir particulier dont la violation fonde ou aggrave la punissabilité et qui incombe uniquement à la personne morale, à la société ou à l'entreprise en raison individuelle est imputé à une personne physique lorsque celle-ci agit notamment en qualité d'organe d'une personne morale ou de membre d'un tel organe (let. a) ou en qualité d'associé (let. b).</w:t>
      </w:r>
    </w:p>
    <w:p>
      <w:r>
        <w:rPr>
          <w:b/>
        </w:rPr>
        <w:t>E. 2.6</w:t>
      </w:r>
    </w:p>
    <w:p>
      <w:r>
        <w:t>En l'occurrence, si la propriété des véhicules revendiqués par la recourante est disputée, les parties s'accordent néanmoins sur l'existence d'un accord aux termes duquel la société L______ Sàrl, fondée par E______ et D______, devait notamment en assurer le gardiennage. S'il ressort du dossier, soit en particulier des déclarations de E______ et D______, que le premier était "décisionnaire" au sein de la société et entretenait une relation de confiance privilégiée avec les représentants de la recourante, il ne peut toutefois être exclu, à ce stade, que le comportement adopté par D______, plus particulièrement dans le cadre de la vente des véhicules F______/9______, F______/10_____ et I______/4______, soit pénalement relevant. En effet, D______, en sa qualité d'associé gérant de L______ Sàrl, avait accès aux comptes bancaires de la société et était chargé notamment de la facturation et des paiements. S'il a certes indiqué se référer à E______ pour la prise de décisions, il a néanmoins précisé que celles-ci se prenaient à deux. De surcroît, D______ a admis avoir pris une part active dans la vente du véhicule F______/9______, dès lors qu'il a expliqué avoir lui-même cherché un acheteur et</w:t>
      </w:r>
    </w:p>
    <w:p>
      <w:r>
        <w:t>- 10/11 - P/13532/2021 s'être rendu, avec E______, au garage X______ Sàrl pour le vendre. En outre, la F______/10_____, dont la propriété est revendiquée par la recourante, se trouvait dans le garage des parents de D______ avant de "disparaître", lui-même ayant été en contact avec M______ à ce sujet. D______ a finalement reconnu avoir établi et signé la facture relative à la vente de la I______/4______ à O______ SA, un leasing ayant par la suite été contracté sur ce même véhicule au nom de la société de ses parents. Finalement, il a perçu la somme de CHF 52'546.- entre le 4 décembre 2019 et le 31 décembre 2020 de la part de L______ Sàrl dont la justification reste à déterminer, puisqu'il déclare ne pas avoir perçu de rémunération de ladite société. Il en va de même pour les montants versés à N______ Sàrl et W______. Compte tenu de ce qui précède, et de la position qu'il occupait dans L______ Sàrl depuis sa constitution jusqu'au 18 juin 2021, il existe des soupçons suffisants justifiant l'ouverture d'une instruction à l'égard de D______, s'agissant notamment des infractions d'abus de confiance, subsidiairement appropriation illégitime, et/ou gestion déloyale, ce d'autant plus que la procédure se poursuit à l'encontre de E______. Dans ces circonstances, il appartient au Ministère public d'ouvrir une instruction et de procéder aux actes d'enquête pertinents.</w:t>
      </w:r>
    </w:p>
    <w:p>
      <w:r>
        <w:rPr>
          <w:b/>
        </w:rPr>
        <w:t>E. 3</w:t>
      </w:r>
    </w:p>
    <w:p>
      <w:r>
        <w:t>Fondé, le recours doit être admis et le chiffre 1 du dispositif de l'ordonnance querellée annulé.</w:t>
      </w:r>
    </w:p>
    <w:p>
      <w:r>
        <w:rPr>
          <w:b/>
        </w:rPr>
        <w:t>E. 4</w:t>
      </w:r>
    </w:p>
    <w:p>
      <w:r>
        <w:t>L'admission du recours ne donne pas lieu à la perception de frais (art. 428 al. 4 CPP), de sorte que le montant de CHF 1'500.- versé par la recourante à titre de sûretés lui sera restitué.</w:t>
      </w:r>
    </w:p>
    <w:p>
      <w:r>
        <w:rPr>
          <w:b/>
        </w:rPr>
        <w:t>E. 5.1</w:t>
      </w:r>
    </w:p>
    <w:p>
      <w:r>
        <w:t>La recourante, partie plaignante qui obtient gain de cause, a droit à une juste indemnité pour les dépenses obligatoires occasionnées par la procédure (art. 433 al. 1 let. a cum 436 al. 1 CPP).</w:t>
      </w:r>
    </w:p>
    <w:p>
      <w:r>
        <w:rPr>
          <w:b/>
        </w:rPr>
        <w:t>E. 5.2</w:t>
      </w:r>
    </w:p>
    <w:p>
      <w:r>
        <w:t>En l'espèce, la recourante conclut à l'octroi d'une indemnité qu'elle chiffre à CHF 2'692.50 pour 6h35 d'activité au tarif horaire de CHF 450.- pour un chef d'étude. Dans la mesure où l'activité apparaît justifiée dans sa globalité, une indemnité de CHF 2'692.50 (hors TVA, vu le domicile à l'étranger de la recourante), lui sera allouée, laquelle sera mise à la charge de l'État. * * * * *</w:t>
      </w:r>
    </w:p>
    <w:p>
      <w:r>
        <w:t>- 11/11 - P/13532/2021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