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ACPR/224/2022 vom 23. November 2021</w:t>
      </w:r>
    </w:p>
    <w:p>
      <w:r>
        <w:t>GE Cour de justice, 2021-11-23, FR</w:t>
      </w:r>
    </w:p>
    <w:p>
      <w:r>
        <w:rPr>
          <w:b/>
        </w:rPr>
        <w:t xml:space="preserve">Quelle: </w:t>
      </w:r>
      <w:r>
        <w:t>https://mcp.opencaselaw.ch/entscheid/ge_gerichte_ACPR_224_2022</w:t>
      </w:r>
    </w:p>
    <w:p>
      <w:r>
        <w:t>FR: GE_GERICHTE ACPR/224/2022 du 23 novembre 2021</w:t>
      </w:r>
    </w:p>
    <w:p>
      <w:r>
        <w:t>IT: GE_GERICHTE ACPR/224/2022 del 23 novembre 2021</w:t>
      </w:r>
    </w:p>
    <w:p>
      <w:pPr>
        <w:pStyle w:val="Heading2"/>
      </w:pPr>
      <w:r>
        <w:t>Erwägungen</w:t>
      </w:r>
    </w:p>
    <w:p>
      <w:r>
        <w:rPr>
          <w:b/>
        </w:rPr>
        <w:t>E. 1</w:t>
      </w:r>
    </w:p>
    <w:p>
      <w:r>
        <w:t>La Chambre de céans peut décider d'emblée de traiter sans échange d'écritures ni débats les actes manifestement irrecevables ou mal fondés (art. 390 al. 2 et 5 a contrario CPP). Tel est le cas en l'occurrence, au vu des considérations qui suivent.</w:t>
      </w:r>
    </w:p>
    <w:p>
      <w:r>
        <w:rPr>
          <w:b/>
        </w:rPr>
        <w:t>E. 2.1</w:t>
      </w:r>
    </w:p>
    <w:p>
      <w:r>
        <w:t>Le recours, formé pour violation de l'art. 219 CP uniquement, a été déposé selon la forme et dans le délai prescrits (art. 385 al. 1 et 396 al. 1 CPP) à l'encontre d'une ordonnance sujette à recours auprès de la Chambre de céans (art. 393 al. 1 let. a CPP).</w:t>
      </w:r>
    </w:p>
    <w:p>
      <w:r>
        <w:rPr>
          <w:b/>
        </w:rPr>
        <w:t>E. 2.2</w:t>
      </w:r>
    </w:p>
    <w:p>
      <w:r>
        <w:t>Toutefois, il convient de déterminer si la recourante dispose de la qualité pour recourir.</w:t>
      </w:r>
    </w:p>
    <w:p>
      <w:r>
        <w:rPr>
          <w:b/>
        </w:rPr>
        <w:t>E. 2.2.1</w:t>
      </w:r>
    </w:p>
    <w:p>
      <w:r>
        <w:t>La partie dont émane le recours doit pouvoir se prévaloir d'un intérêt juridiquement protégé à l'annulation ou à la modification de la décision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 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 L'art. 116 al. 2 CPP confère aux proches de la victime – soit notamment à la mère de la personne lésée qui, du fait d'une infraction, aurait subi une atteinte directe à son intégrité physique/psychique (art. 116 CPP) – un statut de victime indirecte. Le droit</w:t>
      </w:r>
    </w:p>
    <w:p>
      <w:r>
        <w:t>- 6/9 - P/9579/2021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2.2.2</w:t>
      </w:r>
    </w:p>
    <w:p>
      <w:r>
        <w:t>En l'espèce, la mineure B______ est seule titulaire du bien juridique protégé par l'art. 219 CP, à l'exclusion de sa mère. A______, qui agit en son propre nom, ne détaille nullement, dans son recours, les motifs pour lesquels elle s'estimerait fondée à recourir, pour elle-même, contre l'ordonnance de non-entrée en matière s'agissant de l'infraction à l'art. 219 CP. À supposer que ce soit en raison de sa qualité de proche de la victime au sens de l'art. 116 al. 1 CPP, encore faudrait-il qu'elle puisse rendre vraisemblable qu'elle ait subi, du chef du comportement prêté aux mis en cause, des souffrances morales comparables à celles qui auraient été les siennes en cas de décès de sa fille. Or, la recourante n'a jamais laissé entendre qu'elle aurait été elle-même directement atteinte par les agissements ou manquements qu'elle reproche au SPMI et au foyer. Il s'ensuit que la recourante n'a pas qualité pour recourir à titre personnel en lien avec l'art. 219 CP, seule infraction visée par le recours. Les développements de la recourante ne permettent pas non plus de conclure qu'elle agirait au nom de sa fille mineure (art. 106 al. 2 CPP), âgée aujourd'hui de 15 ans, dont elle disposerait à tout le moins de l'accord tacite ou que cette dernière, par hypothèse, ne serait pas en mesure d'exercer ses droits strictement personnels de manière autonome (arrêt du tribunal fédéral 6B_301/2021 du 21 juillet 2021 consid. 1.2.1; arrêt du Tribunal fédéral 6P.121/2003 du 9 octobre 2003 consid. 3.2; Y. JEANNERET/ A. KUHN/ C. PERRIER DEPEURSINGE (éds), Commentaire romand : Code de procédure pénale suisse, 2ème éd., Bâle 2019, n. 14 ad art. 106). Au contraire, il est observé que le présent recours et la plainte pénale ont été formés au seul nom de la recourante, sans qu'il soit possible d'en déduire qu'elle entendait représenter sa fille, laquelle n'a au demeurant pas participé à la procédure pénale. Partant, on ne saurait raisonnablement soutenir que la recourante agit en représentation de sa fille.</w:t>
      </w:r>
    </w:p>
    <w:p>
      <w:r>
        <w:t>- 7/9 - P/9579/2021 Pour toutes ces raisons, le présent recours sera déclaré irrecevable.</w:t>
      </w:r>
    </w:p>
    <w:p>
      <w:r>
        <w:rPr>
          <w:b/>
        </w:rPr>
        <w:t>E. 3</w:t>
      </w:r>
    </w:p>
    <w:p>
      <w:r>
        <w:t>La recourante, qui succombe, supportera les frais envers l'État fixés en totalité à CHF 900.- (art. 428 al. 1 CPP et 13 al. 1 du Règlement fixant le tarif des frais en matière pénale, RTFMP ; E 4 10.03), émolument de décision compris. * * * * *</w:t>
      </w:r>
    </w:p>
    <w:p>
      <w:r>
        <w:t>- 8/9 - P/9579/2021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