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ACPR/222/2026 vom 4. März 2026</w:t>
      </w:r>
    </w:p>
    <w:p>
      <w:r>
        <w:t>GE Cour de justice, 2026-03-04, FR</w:t>
      </w:r>
    </w:p>
    <w:p>
      <w:r>
        <w:rPr>
          <w:b/>
        </w:rPr>
        <w:t xml:space="preserve">Quelle: </w:t>
      </w:r>
      <w:r>
        <w:t>https://mcp.opencaselaw.ch/entscheid/ge_gerichte_ACPR_222_2026</w:t>
      </w:r>
    </w:p>
    <w:p>
      <w:r>
        <w:t>FR: GE_GERICHTE ACPR/222/2026 du 4 mars 2026</w:t>
      </w:r>
    </w:p>
    <w:p>
      <w:r>
        <w:t>IT: GE_GERICHTE ACPR/222/2026 del 4 marzo 2026</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Y. JEANNERET / A. KUHN / C. PERRIER DEPEURSINGE (éds), Commentaire romand : Code de procédure pénales suisse, 2ème éd., Bâle 2019, n. 4 in fine ad art. 30) et émaner de la recourante qui revêt la qualité de prévenue et de partie plaignante et, partie à la procédure (art. 104 al. 1 let. a 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semble se plaindre d'une violation de son droit d'être entendue, dans la mesure où le Ministère public n'aurait pas procédé à une audition contradictoire et qu'elle n'aurait pas pu s'exprimer sur l'ensemble de la procédure.</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w:t>
      </w:r>
    </w:p>
    <w:p>
      <w:r>
        <w:rPr>
          <w:b/>
        </w:rPr>
        <w:t>E. 3.2</w:t>
      </w:r>
    </w:p>
    <w:p>
      <w:r>
        <w:t>En l'espèce, la recourante n'explique pas en quoi elle aurait dû être entendue avant que la disjonction des procédures ne soit ordonnée, ce qui a néanmoins été le cas lors de l'audience du 10 avril 2024, ni en quoi cela violerait ses droits de partie plaignante ou prévenue. Elle semble se plaindre ici d'un grief en relation avec le classement ou l'ordonnance pénale, sans que cela n'ait un lien avec la présente procédure, laquelle traite uniquement du bien-fondé de la disjonction des causes. Ainsi, son droit d'être entendue a été pleinement respecté, étant rappelé que l'autorité de recours dispose dans tous les cas du plein pouvoir de cognition en fait et en droit (art. 391 al. 1 et 393 al. 2 CPP). Partant, ce grief sera rejeté.</w:t>
      </w:r>
    </w:p>
    <w:p>
      <w:r>
        <w:rPr>
          <w:b/>
        </w:rPr>
        <w:t>E. 4</w:t>
      </w:r>
    </w:p>
    <w:p>
      <w:r>
        <w:t>La recourante estime que la disjonction n'est pas justifiée.</w:t>
      </w:r>
    </w:p>
    <w:p>
      <w:r>
        <w:t>- 5/8 - P/28231/2025</w:t>
      </w:r>
    </w:p>
    <w:p>
      <w:r>
        <w:rPr>
          <w:b/>
        </w:rPr>
        <w:t>E. 4.1</w:t>
      </w:r>
    </w:p>
    <w:p>
      <w:r>
        <w:t>À teneur de l'art. 29 al. 1 CPP, les infractions sont poursuivies et jugées conjointement lorsqu'un prévenu a commis plusieurs infractions (let. a) ou lorsqu'il y a plusieurs coauteurs ou participation (let. b). Le principe d'unité de la procédure découle déjà de l'art. 49 CP et, sous réserve d'exceptions, s'applique à toutes les situations où plusieurs infractions, respectivement plusieurs personnes, doivent être jugées ensemble (Y. JEANNERET / A. KUHN / C. PERRIER DEPEURSINGE (éds), op. cit., n. 1 ad art. 29). Ce principe tend à éviter les jugements contradictoires quant à l'état de fait, l'appréciation juridique ou la quotité de la peine. Il sert en outre l'économie de la procédure (ATF 138 IV 214 consid. 3; 138 IV 29 consid. 3.2).</w:t>
      </w:r>
    </w:p>
    <w:p>
      <w:r>
        <w:rPr>
          <w:b/>
        </w:rPr>
        <w:t>E. 4.2</w:t>
      </w:r>
    </w:p>
    <w:p>
      <w:r>
        <w:t>Selon l'art. 30 CPP, si des raisons objectives le justifient, le Ministère public et les tribunaux peuvent ordonner la disjonction de procédures pénales. Elle sert, avant tout, à garantir la rapidité de la procédure et à éviter un retard inutile. Ces raisons objectives excluent en revanche de se fonder sur de simples motifs de commodité (Y. JEANNERET / A. KUHN / C. PERRIER DEPEURSINGE (éds.), op. cit., n. 2 ad art. 30). Par ailleurs, la disjonction de procédures peut se révéler problématique, tant sous l'angle du droit à un procès équitable (art. 29 al. 1 Cst. féd. et 6 § 1 CEDH), quand des co-prévenus s'accusent mutuellement de certains faits, que, dans une telle situation, sous l'angle du droit de participer à l'administration des preuves (perte du droit d'assister aux auditions des co-prévenus dans les procédures parallèles ainsi qu'à l'administration d'autres preuves, l'art. 147 CPP étant inapplicable dans la cause disjointe; arrêt du Tribunal fédéral 1B_116/2020 du 20 mai 2020 consid. 1.2 et les références citées).</w:t>
      </w:r>
    </w:p>
    <w:p>
      <w:r>
        <w:rPr>
          <w:b/>
        </w:rPr>
        <w:t>E. 4.3</w:t>
      </w:r>
    </w:p>
    <w:p>
      <w:r>
        <w:t>En l'espèce, la procédure de classement en faveur de C______ fait l'objet d'un recours auprès de la Chambre de céans, alors que la recourante s'est opposée à l'ordonnance pénale rendue contre elle, procédure qui devra être traitée par le Tribunal de police en cas de maintien par le Ministère public. Il en résulte que ces deux volets de la même procédure, qui concernent des prévenus différents, devront être traités par deux juridictions distinctes. À cela s'ajoute que l'instruction est terminée, le Ministère public ayant rendu des ordonnances qui mettent fin à la procédure pour les deux prévenus/parties plaignantes. Dans tous les cas, le droit de la recourante à un procès équitable reste préservé, en lien avec sa possibilité de contester les ordonnances pénales et de classement, ce qu'elle a d'ailleurs fait. Il n'existe ainsi aucun risque qu'une disjonction conduise à des jugements contradictoires, dans la mesure où le classement des faits en faveur de C______ n'a aucune incidence sur une éventuelle confirmation de la condamnation de la recourante.</w:t>
      </w:r>
    </w:p>
    <w:p>
      <w:r>
        <w:t>- 6/8 - P/28231/2025 Il se justifie dès lors de disjoindre les causes pour permettre aux deux autorités d'aller de l'avant pour la procédure qui se trouve devant elles, sans attendre l'issue de l'autre. La décision entreprise repose donc sur des raisons objectives et légales, notamment eu égard au principe de la célérité. Partant, compte tenu du large pouvoir d'appréciation qui est le sien en la matière, le Ministère public n'a pas violé la loi en ordonnant la disjonction litigieuse.</w:t>
      </w:r>
    </w:p>
    <w:p>
      <w:r>
        <w:rPr>
          <w:b/>
        </w:rPr>
        <w:t>E. 5</w:t>
      </w:r>
    </w:p>
    <w:p>
      <w:r>
        <w:t>Justifiée, l'ordonnance querellée sera donc confirmée.</w:t>
      </w:r>
    </w:p>
    <w:p>
      <w:r>
        <w:rPr>
          <w:b/>
        </w:rPr>
        <w:t>E. 6</w:t>
      </w:r>
    </w:p>
    <w:p>
      <w:r>
        <w:t>La recourante, qui succombe, supportera les frais envers l'État, fixés en totalité à CHF 800.- (art. 428 al. 1 CPP et 13 al. 1 du Règlement fixant le tarif des frais en matière pénale, RTFMP ; E 4 10.03), pour tenir compte de sa situation financière.</w:t>
      </w:r>
    </w:p>
    <w:p>
      <w:r>
        <w:rPr>
          <w:b/>
        </w:rPr>
        <w:t>E. 7</w:t>
      </w:r>
    </w:p>
    <w:p>
      <w:r>
        <w:t>La recourante, qui n'a pas conclu à l'octroi de dépens, est partie plaignante et prévenue dans la procédure ayant fait l'objet d'une disjonction, soit la P/1______/2021. Il convient dès lors de retenir la qualité qui lui confère le plus de droits, soit celle de prévenue. Dans ce cadre, elle plaide au bénéfice d'une défense d'office. La procédure étant désormais terminée, l’indemnité du défenseur d’office, pour la procédure de recours, sera fixée à CHF 324.30 (TVA à 8.1 % incluse) au tarif horaire de CHF 200.- (art. 16 al. 1 let. c RAJ), correspondant à la rédaction d'un recours de 5 pages (page de garde et conclusions comprises, dont une de discussion juridique), dans une cause dépourvue de toute complexité juridique. * * * * *</w:t>
      </w:r>
    </w:p>
    <w:p>
      <w:r>
        <w:t>- 7/8 - P/28231/2025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