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ACPR/219/2025 vom 21. Februar 2025</w:t>
      </w:r>
    </w:p>
    <w:p>
      <w:r>
        <w:t>GE Cour de justice, 2025-02-21, FR</w:t>
      </w:r>
    </w:p>
    <w:p>
      <w:r>
        <w:rPr>
          <w:b/>
        </w:rPr>
        <w:t xml:space="preserve">Quelle: </w:t>
      </w:r>
      <w:r>
        <w:t>https://mcp.opencaselaw.ch/entscheid/ge_gerichte_ACPR_219_2025</w:t>
      </w:r>
    </w:p>
    <w:p>
      <w:r>
        <w:t>FR: GE_GERICHTE ACPR/219/2025 du 21 février 2025</w:t>
      </w:r>
    </w:p>
    <w:p>
      <w:r>
        <w:t>IT: GE_GERICHTE ACPR/219/2025 del 21 febbraio 2025</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L'établissement d'un profil ADN est de nature à porter atteinte au droit à la liberté personnelle (art. 10 al. 2 Cst féd.) et à la protection contre l'emploi abusif de données privées (art. 13 al. 2 Cst féd. et 8 CEDH). Cette mesure doit, en conséquence, se fonder sur une base légale, être justifiée par un intérêt public et être proportionnée au but visé (ATF 147 I 372 consid. 2.3.3; arrêt du Tribunal fédéral 1B_631/2022 du 14 février 2023 consid. 2).</w:t>
      </w:r>
    </w:p>
    <w:p>
      <w:r>
        <w:rPr>
          <w:b/>
        </w:rPr>
        <w:t>E. 3.1.1</w:t>
      </w:r>
    </w:p>
    <w:p>
      <w:r>
        <w:t>Selon l'art. 255 al. 1bis CPP, le prélèvement et l’établissement d’un profil ADN peut être ordonné sur le prévenu si des indices concrets laissent présumer qu’il pourrait avoir commis d’autres crimes ou délits que celui ou ceux pour lesquels l'instruction est en cours (al. 1). Une telle mesure peut être ordonnée par le ministère public durant l'instruction (ATF 141 IV 87 conisd. 1.3.2).</w:t>
      </w:r>
    </w:p>
    <w:p>
      <w:r>
        <w:t>- 5/8 - P/955/2025 Selon la directive sur la gestion et la conservation des données signalétiques et des profils d'ADN du Ministère public (ci-après : la Directive A.5), si la police n'a procédé à aucun prélèvement d'échantillon d'ADN ou qu'un échantillon a été détruit sans être analysé (art. 9 al. 1 let. d LPADN) mais que l'établissement d'un profil d'ADN permettrait d'élucider l'infraction sur laquelle porte la procédure (art. 255 al. 1 CPP) ou une infraction passée (art. 255 al. 1 bis CPP), le procureur ordonne un prélèvement. Il procède par courriel si le prévenu est retenu dans les locaux de la police ou par mandat d'actes d'enquête s'il ne l'est pas. Consécutivement, il ordonne l'établissement d'un profil d'ADN (art. 4.5).</w:t>
      </w:r>
    </w:p>
    <w:p>
      <w:r>
        <w:rPr>
          <w:b/>
        </w:rPr>
        <w:t>E. 3.1.2</w:t>
      </w:r>
    </w:p>
    <w:p>
      <w:r>
        <w:t>L'établissement d'un profil d'ADN destiné à élucider des crimes ou délits passés/futurs n'est proportionné que s'il existe des indices sérieux et concrets que le prévenu pourrait/pourra être impliqué dans d'autres infractions. Celles-ci doivent revêtir une certaine gravité (ATF 147 I 372 consid. 4.2). L'on prendra en considération, dans la pesée des intérêts à réaliser, les éventuels antécédents de l'intéressé (ATF 145 IV 263 consid. 3.4; arrêt du Tribunal fédéral 1B_230/2022 du 7 septembre 2022 consid 2.2).</w:t>
      </w:r>
    </w:p>
    <w:p>
      <w:r>
        <w:rPr>
          <w:b/>
        </w:rPr>
        <w:t>E. 3.1.3</w:t>
      </w:r>
    </w:p>
    <w:p>
      <w:r>
        <w:t>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Les antécédents doivent également être pris en compte. Cependant, l'absence d'antécédents n'exclut pas en soi l'établissement d'un profil d'ADN (ATF 147 I 372 précité consid. 2.1; ATF 145 IV 263 consid. 3.4; arrêt du Tribunal fédéral 1B_230/2022 du 7 septembre 2022 consid. 2.2).</w:t>
      </w:r>
    </w:p>
    <w:p>
      <w:r>
        <w:rPr>
          <w:b/>
        </w:rPr>
        <w:t>E. 3.2</w:t>
      </w:r>
    </w:p>
    <w:p>
      <w:r>
        <w:t>En l'espèce, il résulte clairement de l'ordonnance querellée que l'établissement du profil ADN du recourant a été ordonné par le Ministère public à la suite de trois interventions de la police au domicile familial du prévenu, les 21 et 23 décembre 2024, puis le 14 février 2025, en raison de menaces sérieuses de mort et d'actes hétéro- agressifs – à l'égard de sa mère et de son beau-père, et auto-agressifs – il entendait se suicider le 21 décembre 2024 –, ainsi que de dommages causés dans l'appartement, comportements qu'il reconnait dans les grandes lignes. Cette répétition de comportements, impliquant la menace de mettre le feu à l'appartement avec des bidons d'essence, de tuer sa mère et d'essayer d'entrer de force dans l'appartement alors qu'il était hospitalisé à la clinique de E______ d'où il a fugué entre les deux épisodes de décembre 2024, auquel s'ajoute l'épisode du 14 février 2025 au cours duquel il est mis en cause pour avoir – une nouvelle fois – menacé de mort sa mère et entendait la contraindre encore plus tard dans la soirée au moyen d'un couteau qu'il avait dissimulé sur le balcon, réalise les conditions de l'art. 255 al. 1bis CPP. S'y ajoute que les diagnostics d'épisode dépressif, grave, sans symptômes psychotiques, de dépendance au cannabis, de mode de consommation nocif d'alcool et</w:t>
      </w:r>
    </w:p>
    <w:p>
      <w:r>
        <w:t>- 6/8 - P/955/2025 de trouble modéré de la personnalité ont été posés dans une expertise psychiatrique du 30 décembre 2024 et que le recourant présente, à teneur de son casier judiciaire deux condamnations, en mars 2021 et juillet 2022 pour blanchiment d'argent. Certes, ce type d'infraction est différent des infractions de menaces, contrainte et dommages à la propriété qui font l'objet de la présente procédure. Certes aussi, en l'état du dossier, vu les éléments dénoncés à la police par la seule mère du recourant et le mari de celle-ci, ce qui lui est reproché semble ne pas dépasser le cercle familial. Il n'en demeure pas moins que cette succession de comportements, sa détermination et l'ampleur de sa colère – dirigés dans un premier temps contre le patrimoine et désormais contre l'intégrité physique, ainsi que la liberté d'autrui – permet de présumer que le recourant pourrait avoir commis d’autres délits, en particulier sous la forme d'actes hétéro-agressifs, vu ses troubles psychiques et ses consommations d'alcool et de stupéfiants, dans un contexte où il n'a pas hésité à fuguer de la clinique de E______ pour venir s'en prendre à nouveau à des membres de sa famille. Dans ces circonstances, le prélèvement du profil d'ADN du recourant se justifie, quand bien même il ne l'a pas été à l'occasion de ses deux premières condamnations, ni par la police lors de ses récentes arrestations. Pour le surplus, le prélèvement d'ADN est une mesure impliquant une atteinte légère aux droits personnels, proportionnée par rapport aux actes violents dont le recourant est soupçonné, à la perspective de ses deux antécédents et de sa santé psychique.</w:t>
      </w:r>
    </w:p>
    <w:p>
      <w:r>
        <w:t>Partant, la mesure ordonnée est proportionnée et dictée par un intérêt public. Compte tenu de ce qui précède, nul n'est besoin d'analyser les autres griefs formulés.</w:t>
      </w:r>
    </w:p>
    <w:p>
      <w:r>
        <w:t>Il s'ensuit que le recours doit être rejeté.</w:t>
      </w:r>
    </w:p>
    <w:p>
      <w:r>
        <w:rPr>
          <w:b/>
        </w:rPr>
        <w:t>E. 4</w:t>
      </w:r>
    </w:p>
    <w:p>
      <w:r>
        <w:t>Justifiée, l'ordonnance querellée sera donc confirmée.</w:t>
      </w:r>
    </w:p>
    <w:p>
      <w:r>
        <w:rPr>
          <w:b/>
        </w:rPr>
        <w:t>E. 4.6</w:t>
      </w:r>
    </w:p>
    <w:p>
      <w:r>
        <w:t>et 1B_203/2011 du 18 mai 2011 consid. 4). * * * * *</w:t>
      </w:r>
    </w:p>
    <w:p>
      <w:r>
        <w:t>- 7/8 - P/955/2025</w:t>
      </w:r>
    </w:p>
    <w:p>
      <w:r>
        <w:rPr>
          <w:b/>
        </w:rPr>
        <w:t>E. 5</w:t>
      </w:r>
    </w:p>
    <w:p>
      <w:r>
        <w:t>Le recourant, qui succombe, supportera les frais envers l'État, fixés en totalité à CHF 600.-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