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ACPR/216/2025 vom 17. Februar 2025</w:t>
      </w:r>
    </w:p>
    <w:p>
      <w:r>
        <w:t>GE Cour de justice, 2025-02-17, FR</w:t>
      </w:r>
    </w:p>
    <w:p>
      <w:r>
        <w:rPr>
          <w:b/>
        </w:rPr>
        <w:t xml:space="preserve">Quelle: </w:t>
      </w:r>
      <w:r>
        <w:t>https://mcp.opencaselaw.ch/entscheid/ge_gerichte_ACPR_216_2025</w:t>
      </w:r>
    </w:p>
    <w:p>
      <w:r>
        <w:t>FR: GE_GERICHTE ACPR/216/2025 du 17 février 2025</w:t>
      </w:r>
    </w:p>
    <w:p>
      <w:r>
        <w:t>IT: GE_GERICHTE ACPR/216/2025 del 17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3.2</w:t>
      </w:r>
    </w:p>
    <w:p>
      <w:r>
        <w:t>À teneur de l'art. 353 al. 3 CPP, l'ordonnance pénale est immédiatement notifiée par écrit aux personnes et aux autorités qui ont qualité pour former opposition.</w:t>
      </w:r>
    </w:p>
    <w:p>
      <w:r>
        <w:rPr>
          <w:b/>
        </w:rPr>
        <w:t>E. 3.3</w:t>
      </w:r>
    </w:p>
    <w:p>
      <w:r>
        <w:t>Le prévenu peut faire opposition à l'ordonnance pénale, par écrit, dans les dix jours (art. 354 al. 1 let. a CPP). Si aucune opposition n'est valablement formée, l'ordonnance pénale est assimilée à un jugement entré en force (art. 354 al. 3 CPP).</w:t>
      </w:r>
    </w:p>
    <w:p>
      <w:r>
        <w:rPr>
          <w:b/>
        </w:rPr>
        <w:t>E. 3.4</w:t>
      </w:r>
    </w:p>
    <w:p>
      <w:r>
        <w:t>Les délais fixés en jours commencent à courir le jour qui suit leur notification ou l'événement qui les déclenche (art. 90 al. 1 CPP). Les écrits doivent être remis au plus tard le dernier jour du délai à l'autorité pénale, à la Poste suisse, ou à une représentation consulaire ou diplomatique suisse (art. 91 al. 2 CPP).</w:t>
      </w:r>
    </w:p>
    <w:p>
      <w:r>
        <w:rPr>
          <w:b/>
        </w:rPr>
        <w:t>E. 3.5</w:t>
      </w:r>
    </w:p>
    <w:p>
      <w:r>
        <w:t>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rPr>
          <w:b/>
        </w:rPr>
        <w:t>E. 3.6</w:t>
      </w:r>
    </w:p>
    <w:p>
      <w:r>
        <w:t>En l'espèce, la recourante ne remet à juste titre pas en cause le fait que l'ordonnance du SdC du 18 septembre 2024 lui a valablement été notifiée le lendemain, de sorte que le délai de 10 jours pour former opposition est arrivé à échéance le 30 septembre 2024. Par conséquent, formée le 9 octobre 2024, l'opposition est tardive. C'est donc à bon droit que le Tribunal de police a constaté son irrecevabilité. Il n'appartenait pour le surplus pas au Tribunal de police de trancher la question de la restitution de délai (art. 94 CPP), telle qu'invoquée par la recourante. La Chambre de</w:t>
      </w:r>
    </w:p>
    <w:p>
      <w:r>
        <w:t>- 4/6 - P/833/2025 céans ne peut, par conséquent, pas statuer, à ce stade, sur une éventuelle restitution de délai pour former opposition, l'examen de cette question revenant au Service des contraventions à qui le dossier sera donc retourné.</w:t>
      </w:r>
    </w:p>
    <w:p>
      <w:r>
        <w:rPr>
          <w:b/>
        </w:rPr>
        <w:t>E. 4</w:t>
      </w:r>
    </w:p>
    <w:p>
      <w:r>
        <w:t>Le recours sera dès lors rejeté.</w:t>
      </w:r>
    </w:p>
    <w:p>
      <w:r>
        <w:rPr>
          <w:b/>
        </w:rPr>
        <w:t>E. 5</w:t>
      </w:r>
    </w:p>
    <w:p>
      <w:r>
        <w:t>La recourante, qui succombe, supportera les frais envers l'État, qui seront fixés en totalité à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