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ACPR/216/2023 vom 22. Februar 2023</w:t>
      </w:r>
    </w:p>
    <w:p>
      <w:r>
        <w:t>GE Cour de justice, 2023-02-22, FR</w:t>
      </w:r>
    </w:p>
    <w:p>
      <w:r>
        <w:rPr>
          <w:b/>
        </w:rPr>
        <w:t xml:space="preserve">Quelle: </w:t>
      </w:r>
      <w:r>
        <w:t>https://mcp.opencaselaw.ch/entscheid/ge_gerichte_ACPR_216_2023</w:t>
      </w:r>
    </w:p>
    <w:p>
      <w:r>
        <w:t>FR: GE_GERICHTE ACPR/216/2023 du 22 février 2023</w:t>
      </w:r>
    </w:p>
    <w:p>
      <w:r>
        <w:t>IT: GE_GERICHTE ACPR/216/2023 del 22 febbraio 2023</w:t>
      </w:r>
    </w:p>
    <w:p>
      <w:pPr>
        <w:pStyle w:val="Heading2"/>
      </w:pPr>
      <w:r>
        <w:t>Erwägungen</w:t>
      </w:r>
    </w:p>
    <w:p>
      <w:r>
        <w:rPr>
          <w:b/>
        </w:rPr>
        <w:t>E. 1</w:t>
      </w:r>
    </w:p>
    <w:p>
      <w:r>
        <w:t>Le recours est ouvert contre un mandat de comparution décerné par la police, i.e. contre un acte de procédure de celle-ci, y compris lorsqu’elle agit sur instruction du Ministère public (art. 393 al. 1 let. a CPP ; DCPR/21/2011 du 8 mars 2011 consid. 2.1. ; ACPR/642/2016 du 7 octobre 2016 consid. 1.1. ; Y. JEANNERET / A. KUHN / C. PERRIER DEPEURSINGE (éds), Commentaire romand : Code de procédure pénale suisse, 2e éd., Bâle 2019, n. 43 ad art. 201, n. 7a ad art. 206 et n. 10 [p. 2483] ad art. 393). En l'espèce, les deux actes de recours sont recevables pour avoir été déposés selon la forme et – faute de preuve de notifications à d’autres dates que celles alléguées par le recourant – dans le délai prescrits (art. 385 al. 1 et 396 al. 1 CPP). Ils émanent de leur destinataire qui, comme tel, jouit d'un intérêt juridiquement protégé à leur modification ou annulation (art. 382 al. 1 CPP).</w:t>
      </w:r>
    </w:p>
    <w:p>
      <w:r>
        <w:rPr>
          <w:b/>
        </w:rPr>
        <w:t>E. 2</w:t>
      </w:r>
    </w:p>
    <w:p>
      <w:r>
        <w:t>Vu leur connexité, les recours seront joints, et il sera statué par une seule décision.</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L'objet du litige est circonscrit à la contestation des mandats de comparution. Toutes les critiques que le recourant exprime au sujet des conditions d'application de l'art. 186 CP n’y ont pas leur place, d’autant moins que son audition vise, précisément, à lui donner l’occasion de faire valoir son point de vue. Il en irait de même si le Ministère public rendait l’ordonnance pénale que le recourant paraît tenir pour préférable aux acte attaqués.</w:t>
      </w:r>
    </w:p>
    <w:p>
      <w:r>
        <w:rPr>
          <w:b/>
        </w:rPr>
        <w:t>E. 5</w:t>
      </w:r>
    </w:p>
    <w:p>
      <w:r>
        <w:t>Le recourant estime illégaux les deux mandats de comparution successivement émis contre lui.</w:t>
      </w:r>
    </w:p>
    <w:p>
      <w:r>
        <w:rPr>
          <w:b/>
        </w:rPr>
        <w:t>E. 5.1</w:t>
      </w:r>
    </w:p>
    <w:p>
      <w:r>
        <w:t>Selon l’art. 201 CPP, le mandat de comparution est l’acte écrit par lequel le ministère public, notamment, cite une personne à comparaître, avec l’indication de la qualité en laquelle celle-ci doit participer à l’acte de procédure annoncé. Il implique la comparution personnelle de son destinataire, même contre la volonté de celui-ci</w:t>
      </w:r>
    </w:p>
    <w:p>
      <w:r>
        <w:t>- 4/7 - P/25090/2022 (A. KUHN / Y. JEANNERET (éds), op. cit., n. 3 et n. 24 ad art. 201). Quiconque est cité à comparaître par une autorité pénale est tenu de donner suite au mandat de comparution (art. 205 al. 1 CPP). Cette obligation vaut indépendamment du droit de garder le silence (A. KUHN / Y. JEANNERET (éds), op. cit., n. 1 ad art. 205). La police est une autorité pénale (art. 12 let. a CPP). Durant l’investigation policière, elle peut citer des personnes sans formalité ni délai particuliers dans le but de les interroger (art. 206 al. 1 CPP ; mandats de comparution « informels », cf. A. KUHN / Y. JEANNERET (éds), op. cit., n. 2 ad art. 206). Elle cherchera, dans la mesure du possible, à tenir compte de manière appropriée des disponibilités de la personne citée (op. cit., n. 23 ad art. 201) ; si les mentions de lieu, date ou heure manquent, la bonne foi oblige celle-ci à la contacter (op. cit., n. 30 ad art. 201). Celui qui ne donne pas suite à un mandat de comparution de la police peut faire l’objet d’un mandat d’amener décerné par le ministère public, s’il a été menacé par écrit de cette mesure (art. 206 al. 2 CPP). Lorsque la police agit sur délégation du ministère public, un tel mandat doit, en tout état, comporter cette commination (A. KUHN / Y. JEANNERET (éds), op. cit., n. 8 ad art. 206).</w:t>
      </w:r>
    </w:p>
    <w:p>
      <w:r>
        <w:rPr>
          <w:b/>
        </w:rPr>
        <w:t>E. 5.2</w:t>
      </w:r>
    </w:p>
    <w:p>
      <w:r>
        <w:t>Dans la systématique de la loi, le mandat de comparution apparaît comme une mesure de contrainte (cf. intitulé du titre 5 du CPP). Comme tel, il est soumis au principe de proportionnalité (art. 197 al. 1 let. c CPP). Suivant la jurisprudence (ATF 142 I 76 consid. 3.5.1 p. 84), ce principe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 ci et les intérêts publics ou privés compromis (principe de la proportionnalité au sens étroit, impliquant une pesée d'intérêts; ATF 113 I 110 consid. 7.1 p. 123 = SJ 2008 I p. 25).</w:t>
      </w:r>
    </w:p>
    <w:p>
      <w:r>
        <w:rPr>
          <w:b/>
        </w:rPr>
        <w:t>E. 5.3</w:t>
      </w:r>
    </w:p>
    <w:p>
      <w:r>
        <w:t>À l’aune de ces principes, on ne voit pas de quel vice formel souffriraient les deux mandats attaqués. Leur notification en France n’est, à juste titre, pas critiquée, puisque l'art. X de l'Accord franco-suisse du 28 octobre 1996 complétant la Convention européenne d'entraide en matière pénale (RS 0.351.934.92) l’autorise directement par voie postale, sur le territoire français. Le recourant sait en quelle qualité il était convoqué (« prévenu ») et pour quelle infraction (« violations de domicile dans les bâtiments de D______ »). Sans doute la date et l’heure de sa comparution ne sont-elles pas mentionnées ; mais il perd de vue que, sous cette rubrique, la possibilité lui est expressément offerte de convenir avec l’enquêteur des date et heure de son audition. En d’autres termes, cette souplesse lui est favorable. On ne saurait même pas parler d’une informalité.</w:t>
      </w:r>
    </w:p>
    <w:p>
      <w:r>
        <w:t>- 5/7 - P/25090/2022 À ce stade, le recourant n’a pas à être avisé de son droit à obtenir, le cas échéant, une défense d’office. La loi ne prévoit rien de tel. Au demeurant, le recourant possède des connaissances suffisantes de la procédure pénale suisse sur cette question, en raison de procédures antérieures (cf. ACPR/214/2023 du 22 mars 2023 ; plus précisément, en matière d’assistance judiciaire le concernant : ACPR/396/2022 du 3 juin 2022, ACPR/177/2018 du 23 mars 2018). Il ne prétend pas que l’infraction sur laquelle il devait être interrogé le placerait en situation de défense obligatoire, au sens de l’art. 130 CPP, ni – à juste titre (arrêt du Tribunal fédéral 1B_464/2022 du</w:t>
      </w:r>
    </w:p>
    <w:p>
      <w:r>
        <w:rPr>
          <w:b/>
        </w:rPr>
        <w:t>E. 10</w:t>
      </w:r>
    </w:p>
    <w:p>
      <w:r>
        <w:t>novembre 2022 consid. 1.3.2 ; ACPR/539/2022 du 9 août 2022 consid. 3.2.) – que la police eût dû se charger de lui désigner, ou faire désigner, un avocat. La mention, sur les deux mandats, que le recourant pourrait déposer, mais à ses frais, avec l’assistance d’un défenseur n’est donc ni irrégulière ni trompeuse. Au demeurant, si le Ministère public, compétent à ce stade pour la désignation d’un défenseur d’office (art. 61 let. a et 133 al. 1 CPP), entrait en matière sur ce point, un effet rétroactif à la date de dépôt de la demande est de règle (art. 5 al. 1 RAJ ; ACPR/911/2020 du 16 décembre 2020 consid. 2.1.). Quant à elle, la commination relative à un mandat d’amener – à décerner par le Ministère public – en cas de défaillance non excusée du recourant est conforme au droit. Sous l’angle du principe de la proportionnalité, on peine à suivre le recourant, lorsqu’il soutient, si on le comprend bien, qu’une ordonnance pénale rendue d’emblée par le Ministère public lui eût été plus favorable. De même, la loi ne hiérarchise pas les infractions pouvant donner lieu à mandat de comparution : toutes le peuvent, y compris les contraventions (art. 201 al. 1 CPP). Qu’en l’occurrence le recourant ne soit exposé, comme il le prétend, qu’à une peine pécuniaire est donc sans pertinence. 6. Les recours s’avèrent infondés en totalité. Partant, la requête d’effet suspensif qu’ils comportent n’a plus d’objet. 7. 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129 I 129 consid. 2.3.1 p. 135). 8. Le recourant, qui succombe dans les conclusions de son recours, supportera les frais envers l'État, arrêtés au total à CHF 800.- (art. 428 al. 1 CPP et 13 al. 1 du Règlement fixant le tarif des frais en matière pénale, RTFMP; E 4 10.03). * * * * *</w:t>
      </w:r>
    </w:p>
    <w:p>
      <w:r>
        <w:t>- 6/7 - P/25090/2022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