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ACPR/214/2026 vom 25. Februar 2026</w:t>
      </w:r>
    </w:p>
    <w:p>
      <w:r>
        <w:t>GE Cour de justice, 2026-02-25, FR</w:t>
      </w:r>
    </w:p>
    <w:p>
      <w:r>
        <w:rPr>
          <w:b/>
        </w:rPr>
        <w:t xml:space="preserve">Quelle: </w:t>
      </w:r>
      <w:r>
        <w:t>https://mcp.opencaselaw.ch/entscheid/ge_gerichte_ACPR_214_2026</w:t>
      </w:r>
    </w:p>
    <w:p>
      <w:r>
        <w:t>FR: GE_GERICHTE ACPR/214/2026 du 25 février 2026</w:t>
      </w:r>
    </w:p>
    <w:p>
      <w:r>
        <w:t>IT: GE_GERICHTE ACPR/214/2026 del 25 febbraio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a/b/c CPP), a qualité pour agir, ayant un intérêt</w:t>
      </w:r>
    </w:p>
    <w:p>
      <w:r>
        <w:t>- 4/9 - P/773/2026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s'oppose à l'établissement de son profil d'ADN.</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3.3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 ci, mais il faudra tenir compte de cet élément dans la pesée d'intérêts à réaliser (ATF 145 IV 263 consid. 3.4 et les références citées; arrêts du Tribunal fédéral 7B_529/2025 du 26 janvier 2026, consid. 3.1.3; 1B_259/2022 précité consid. 4.3; 1B_230/2022 du</w:t>
      </w:r>
    </w:p>
    <w:p>
      <w:r>
        <w:rPr>
          <w:b/>
        </w:rPr>
        <w:t>E. 3.4</w:t>
      </w:r>
    </w:p>
    <w:p>
      <w:r>
        <w:t>Selon l’art. 17 al. 1 de la loi sur les profils d’ADN [RS 363], dans les cas visés à l’art. 16 al. 2 let. a à f et h et al. 6 de cette loi, le profil d’ADN peut, avec l’autorisation de l’autorité de jugement compétente, être conservé 10 ans de plus au maximum après</w:t>
      </w:r>
    </w:p>
    <w:p>
      <w:r>
        <w:t>- 5/9 - P/773/2026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3.5</w:t>
      </w:r>
    </w:p>
    <w:p>
      <w:r>
        <w:t>En l’espèce, l'établissement du profil d'ADN du recourant a été ordonné pour élucider, non pas les infractions en cours d'instruction, mais d'autres actes contraires à la LStup, dès lors qu'il avait déjà été soupçonné pour des faits similaires. À cet égard, il existe des indices sérieux et concrets de la commission, par le recourant, de tels actes punissables. En effet, il a déjà fait l'objet de soupçons à deux reprises, en juin 2024 et octobre 2025, pour des délits contre la loi fédérale sur les stupéfiants, soit pour des agissements qui dépassent le stade de la simple consommation personnelle, laquelle a fait l'objet d'une contravention en sus en octobre 2025. Ces condamnations, récentes, font l'objet d'oppositions. Elles vont en outre de pair avec des reproches répétés de situation irrégulière en Suisse, étant précisé que l'interdiction de pénétrer en Suisse notifiée en octobre 2025 n'a pas dissuadé le recourant d'y venir le 13 janvier 2026, pour un motif peu convaincant, la nécessité de passer par Genève pour aller de B______ [France] à C______ [France] ne s'imposant pas. Le passage par Genève est d'autant plus troublant qu'il s'agit, selon l'OFDF d'un "routing" connu en matière de trafic de stupéfiants. S'y ajoutent enfin les tests Protzek positifs effectués sur le recourant. Ces éléments, additionnés à une situation personnelle non établie, soit une absence de domicile fixe et un revenu allégué non prouvé, laissent craindre un ancrage dans la délinquance liée aux stupéfiants et permettent de penser que l'intéressé pourrait être impliqué dans d'autres infractions à la LStup encore inconnues des autorités, qui pourraient lui être attribuées si l'on était en mesure de comparer son profil d'ADN à des traces prélevées sur les lieux de leur commission. Les infractions à la LStup susceptibles d'être élucidées revêtent également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w:t>
      </w:r>
    </w:p>
    <w:p>
      <w:r>
        <w:t>- 6/9 - P/773/2026 Le recourant soutient qu'ordonner un nouvel établissement de son profil d'ADN alors qu'un tel profil, immuable, aurait déjà été établi plusieurs fois par le passé, serait arbitraire.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soutient que le nouvel établissement de son profil d’ADN rendrait "lettre morte" l’art. 17 de la loi sur les profils d’ADN, mais la Chambre de céans ne partage pas cette opinion. Cette disposition prévoit la possibilité de prolonger la durée de conservation lorsque le condamné présente un risque de récidive, c’est-à-dire dans les cas où l’intéressé, après avoir été condamné, n’a pas récidivé mais présente des caractéristiques faisant craindre une réitération. Or, dans le cas du recourant, le Ministère public a ordonné le nouvel établissement du profil d’ADN car l’intéressé est à nouveau soupçonné d’avoir commis de nouvelles infractions pour lesquelles l’établissement d’un profil d’ADN est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dans l'ordonnance pénale prononcée à son encontre. Que ce coût soit éventuellement mis à</w:t>
      </w:r>
    </w:p>
    <w:p>
      <w:r>
        <w:t>- 7/9 - P/773/2026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si le délai d'effacement du profil d'ADN est censé être mentionné dans l'ordonnance pénale (ou le jugement) faisant suite à cette mesure, selon l'art. 353 al. 1 let. fbis CPP, cette ordonnance, du 13 janvier 2026, n'est pas l'objet du recours. Par ailleurs, le recourant y a formé opposition. Or, selon l'issue de la procédure, l'intérêt public à disposer du profil d'ADN de l'intéressé ne sera pas le même, de sorte qu'il appartient au juge du fond de trancher cette question. Il s'ensuit que l'ordonnance querellée ne prête pas le flanc à la critique, les réquisits pour le prononcé de l'établissement du profil d'ADN du recourant étant réunis. 4. Justifiée, l'ordonnance querellée sera donc confirmée. 5. Le recourant, qui succombe, supportera les frais envers l'État, fixés en totalité à CHF 600.- (art. 428 al. 1 CPP et 13 al. 1 du Règlement fixant le tarif des frais en matière pénale, RTFMP ; E 4 10.03). 6. Corrélativement, aucun dépens ne lui sera alloué (ATF 144 IV 207, consid. 1.8.2). * * * * *</w:t>
      </w:r>
    </w:p>
    <w:p>
      <w:r>
        <w:t>- 8/9 - P/773/2026</w:t>
      </w:r>
    </w:p>
    <w:p>
      <w:r>
        <w:rPr>
          <w:b/>
        </w:rPr>
        <w:t>E. 7</w:t>
      </w:r>
    </w:p>
    <w:p>
      <w:r>
        <w:t>septembre 2022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