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ACPR/213/2020 vom 13. März 2020</w:t>
      </w:r>
    </w:p>
    <w:p>
      <w:r>
        <w:t>GE Cour de justice, 2020-03-13, FR</w:t>
      </w:r>
    </w:p>
    <w:p>
      <w:r>
        <w:rPr>
          <w:b/>
        </w:rPr>
        <w:t xml:space="preserve">Quelle: </w:t>
      </w:r>
      <w:r>
        <w:t>https://mcp.opencaselaw.ch/entscheid/ge_gerichte_ACPR_213_2020</w:t>
      </w:r>
    </w:p>
    <w:p>
      <w:r>
        <w:t>FR: GE_GERICHTE ACPR/213/2020 du 13 mars 2020</w:t>
      </w:r>
    </w:p>
    <w:p>
      <w:r>
        <w:t>IT: GE_GERICHTE ACPR/213/2020 del 13 marzo 2020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qui la concernait (art. 382 al. 1 CPP).</w:t>
      </w:r>
    </w:p>
    <w:p>
      <w:r>
        <w:rPr>
          <w:b/>
        </w:rPr>
        <w:t>E. 1.2</w:t>
      </w:r>
    </w:p>
    <w:p>
      <w:r>
        <w:t>Conformément à l'art. 127 al. 5 CPP, la défense des prévenus est réservée aux avocats qui sont habilités à représenter les parties devant les tribunaux. Le recours formé par A______ au nom de son mari est, dès lors, irrecevable.</w:t>
      </w:r>
    </w:p>
    <w:p>
      <w:r>
        <w:rPr>
          <w:b/>
        </w:rPr>
        <w:t>E. 2</w:t>
      </w:r>
    </w:p>
    <w:p>
      <w:r>
        <w:t>La recourante semble contester les charges, du moins en partie.</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t>- 6/9 - P/24723/2019</w:t>
      </w:r>
    </w:p>
    <w:p>
      <w:r>
        <w:rPr>
          <w:b/>
        </w:rPr>
        <w:t>E. 2.2</w:t>
      </w:r>
    </w:p>
    <w:p>
      <w:r>
        <w:t>En l'espèce, il ressort de l’enquête de police et des déclarations des sous- locataires que la prévenue sous-louait un grand nombre d’appartements à de nombreuses personnes sans autorisation de séjour en Suisse, réalisant un bénéfice important pouvant aller, selon la police, jusqu’à 76% par rapport au loyer officiel du logement. Le nombre exact d’appartements sous-loués par les prévenus n’est pas encore connu. Plusieurs sous-locataires mettent en cause la prévenue, dont la plaignante K______, qui a confirmé ses déclarations lors de l’audience de confrontation du 19 mars 2020. Il existe ainsi, à ce stade précoce de l’enquête, une prévention suffisante d’infractions aux art. 116 LEI et 157 CP, la prévenue se limitant à opposer sa propre version à celles de ses sous-locataires.</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il est manifeste qu’il subsiste en l’état un risque de collusion important avec les sous-locataires, lesquels devront être entendus en audience contradictoire. Ces personnes étant principalement sans titre de séjour valable et en situation précaire (faible revenu), c’est à bon droit que le TMC a considéré qu’elles se trouvaient dans un rapport de dépendance avec la prévenue et son mari. Cette dernière pouvait ainsi être tentée, en cas de libération, de faire pression sur eux et ainsi entraver la manifestation de la vérité. Ce risque est par ailleurs accentué par la collaboration médiocre de la prévenue à l’enquête, puisqu'elle affirme ne plus se rappeler des codes de son téléphone et refuse de fournir des explications circonstanciées sur la relation qu’elle entretient avec son avocat au civil, Q______. Le risque de collusion avec ce dernier est dès lors également concret.</w:t>
      </w:r>
    </w:p>
    <w:p>
      <w:r>
        <w:rPr>
          <w:b/>
        </w:rPr>
        <w:t>E. 4</w:t>
      </w:r>
    </w:p>
    <w:p>
      <w:r>
        <w:t>L’admission de ce risque dispense d’examiner s’il existe, en sus, un risque de réitération.</w:t>
      </w:r>
    </w:p>
    <w:p>
      <w:r>
        <w:t>- 7/9 - P/24723/2019</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5.2</w:t>
      </w:r>
    </w:p>
    <w:p>
      <w:r>
        <w:t>En l’occurrence, la recourante se limite, dans son recours, à s’engager à ne pas contacter les sous-locataires.</w:t>
      </w:r>
    </w:p>
    <w:p>
      <w:r>
        <w:t>Telle mesure n’apparaît à l’évidence pas suffisante, eu égard à l’acuité du risque de collusion, tel que précédemment décrit, étant relevé que la liste des appartements loués ou sous-loués par la prévenue – et donc des personnes lésées – n’est pas encore entièrement connue.</w:t>
      </w:r>
    </w:p>
    <w:p>
      <w:r>
        <w:t>Les autres mesures de substitution qu’elle a proposées devant le TMC ne sont pas non plus aptes à pallier le risque très concret de collusion, étant précisé qu’une assignation à domicile, le cas échéant assortie du port d’un bracelet électronique, ou l’interdiction de se rendre dans les immeubles dont elle est propriétaire ou locataire ne l’empêcherait pas de contacter par un autre biais, par exemple téléphoniquement ou par messagerie, les lésés et ainsi de faire pression sur eux.</w:t>
      </w:r>
    </w:p>
    <w:p>
      <w:r>
        <w:t>L’interdiction d’exercer une quelconque activité dans le domaine de l'immobilier ainsi que d'encaisser des montants des locataires/sous-locataires ne peut enfin tendre qu’à pallier un éventuel risque de récidive.</w:t>
      </w:r>
    </w:p>
    <w:p>
      <w:r>
        <w:rPr>
          <w:b/>
        </w:rPr>
        <w:t>E. 6</w:t>
      </w:r>
    </w:p>
    <w:p>
      <w:r>
        <w:t>L’état de santé de la recourante ne saurait par ailleurs justifier sa libération. Comme relevé par le Ministère public, le certificat médical des HUG ne mentionne aucune pathologie qui s’opposerait à son maintien en détention. Rien n’indique par ailleurs que sa prise en charge médicale actuelle ne serait pas adéquate.</w:t>
      </w:r>
    </w:p>
    <w:p>
      <w:r>
        <w:t>Enfin, son jeune fils est sous la protection de l’autorité judiciaire compétente.</w:t>
      </w:r>
    </w:p>
    <w:p>
      <w:r>
        <w:rPr>
          <w:b/>
        </w:rPr>
        <w:t>E. 7</w:t>
      </w:r>
    </w:p>
    <w:p>
      <w:r>
        <w:t>La détention provisoire de la recourant est, au demeurant, parfaitement proportionnée en l’état.</w:t>
      </w:r>
    </w:p>
    <w:p>
      <w:r>
        <w:rPr>
          <w:b/>
        </w:rPr>
        <w:t>E. 8</w:t>
      </w:r>
    </w:p>
    <w:p>
      <w:r>
        <w:t>Le recours s'avère ainsi infondé et doit être rejeté.</w:t>
      </w:r>
    </w:p>
    <w:p>
      <w:r>
        <w:rPr>
          <w:b/>
        </w:rPr>
        <w:t>E. 9</w:t>
      </w:r>
    </w:p>
    <w:p>
      <w:r>
        <w:t>La recourante, qui succombe, supportera les frais envers l'État, qui comprendront un émolument de CHF 900.- (art. 428 al. 1 CPP et 13 al. 1 du Règlement fixant le tarif des frais en matière pénale, RTFMP ; E 4 10.03). * * * * *</w:t>
      </w:r>
    </w:p>
    <w:p>
      <w:r>
        <w:t>- 8/9 - P/24723/2019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