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ACPR/211/2025 vom 26. November 2024</w:t>
      </w:r>
    </w:p>
    <w:p>
      <w:r>
        <w:t>GE Cour de justice, 2024-11-26, FR</w:t>
      </w:r>
    </w:p>
    <w:p>
      <w:r>
        <w:rPr>
          <w:b/>
        </w:rPr>
        <w:t xml:space="preserve">Quelle: </w:t>
      </w:r>
      <w:r>
        <w:t>https://mcp.opencaselaw.ch/entscheid/ge_gerichte_ACPR_211_2025</w:t>
      </w:r>
    </w:p>
    <w:p>
      <w:r>
        <w:t>FR: GE_GERICHTE ACPR/211/2025 du 26 novembre 2024</w:t>
      </w:r>
    </w:p>
    <w:p>
      <w:r>
        <w:t>IT: GE_GERICHTE ACPR/211/2025 del 26 novembre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et les faits nouveaux allégués devant la juridiction de céans sont recevables, la jurisprudence admettant la production de faits et de moyens de preuve nouveaux en deuxième instance (arrêt du Tribunal fédéral 1B_550/2022 du 17 novembre 2022 consid. 2.2).</w:t>
      </w:r>
    </w:p>
    <w:p>
      <w:r>
        <w:rPr>
          <w:b/>
        </w:rPr>
        <w:t>E. 2</w:t>
      </w:r>
    </w:p>
    <w:p>
      <w:r>
        <w:t>La recourante allègue une violation de son droit d'être entendue en lien avec la consultation du dossier.</w:t>
      </w:r>
    </w:p>
    <w:p>
      <w:r>
        <w:rPr>
          <w:b/>
        </w:rPr>
        <w:t>E. 2.1</w:t>
      </w:r>
    </w:p>
    <w:p>
      <w:r>
        <w:t>Le droit d'être entendu, tel qu'il est garanti par l'art. 29 al. 2 Cst., permet au justiciable de consulter le dossier avant le prononcé d'une décision. Il est concrétisé, en procédure pénale, par les art. 101 al. 1 et 107 al. 1 let. a CPP, qui fondent le droit des parties de consulter le dossier de la procédure pénale. Ce droit comprend la consultation des pièces au siège de l’autorité, la prise de notes et la délivrance de photocopies (ATF 122 I 109 consid. 2b). Le justiciable a ainsi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2.2</w:t>
      </w:r>
    </w:p>
    <w:p>
      <w:r>
        <w:t>Diverses mesures d'investigation peuvent être mises en œuvre avant l'ouverture d'une instruction.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2.3</w:t>
      </w:r>
    </w:p>
    <w:p>
      <w:r>
        <w:t>En l'occurrence, la procédure n'a pas dépassé la phase des premières investigations, ce qui permettait au Ministère public de rendre une ordonnance de non- entrée en matière sans préalablement conférer à la plaignante le droit de consulter le dossier.</w:t>
      </w:r>
    </w:p>
    <w:p>
      <w:r>
        <w:t>- 6/10 - P/16115/2024 Il s'ensuit que le grief doit être rejeté.</w:t>
      </w:r>
    </w:p>
    <w:p>
      <w:r>
        <w:rPr>
          <w:b/>
        </w:rPr>
        <w:t>E. 3</w:t>
      </w:r>
    </w:p>
    <w:p>
      <w:r>
        <w:t>La recourante reproche au Ministère public de ne pas être entré en matière sur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3.2.1. L'art. 137 CP punit quiconque, pour se procurer ou procurer à un tiers un enrichissement illégitime, s'approprie une chose mobilière appartenant à autrui. 3.2.2. Selon l'art. 138 ch. 1 al. 1 CP, commet un abus de confiance quiconque, pour se procurer ou procurer à un tiers un enrichissement illégitime, s'approprie une chose mobilière appartenant à autrui et qui lui a été confiée. Ces dispositions nécessitent un dessein d'appropriation. L'appropriation implique que l'auteur veut d'une part la dépossession durable du propriétaire et, d'autre part, qu'il entend s'attribuer la chose, au moins pour un certain temps. La seule volonté d'appropriation ne suffit pas; il faut encore qu'elle se traduise par un certain comportement et que l'auteur montre qu'il incorpore la chose à son patrimoine et se considère comme propriétaire (ATF 121 IV 23 consid. 1c = JdT 1996 IV 166 ; ATF 118 IV 148 = JdT 1994 IV 105). À cet égard, le seul fait de continuer d'utiliser le véhicule à l'échéance du contrat de leasing ne constitue pas nécessairement un abus de</w:t>
      </w:r>
    </w:p>
    <w:p>
      <w:r>
        <w:t>- 7/10 - P/16115/2024 confiance; il faut que s'y ajoutent d'autres éléments permettant de penser que le preneur de leasing a la volonté de déposséder durablement le donneur de leasing. Une telle volonté peut se déduire du refus du preneur de leasing de restituer le véhicule parce qu'il conteste le droit de propriété du donneur de leasing; une volonté d'appropriation doit également être admise lorsque l'utilisation excède une certaine durée et dépasse une certaine intensité, et que l'on ne peut plus parler d'usage passager (arrêt du Tribunal fédéral 6B_827/2010 du 24 janvier 2011 consid. 5.5). 3.2.3. L'art. 141 CP punit quiconque, sans dessein d'appropriation, soustrait une chose mobilière à l'ayant droit et lui cause par là un préjudice considérable. La soustraction se définit comme la rupture de la possession d'autrui, contraire à la volonté de l'ayant droit, aboutissant à la création d'une nouvelle possession, en général en faveur de l'auteur lui-même (M. DUPUIS / L. MOREILLON / C. PIGUET / S. BERGER / M. MAZOU / V. RODIGARI (éds), Code pénal – Petit commentaire, 2e éd., Bâle 2017, n. 8 ad art.139). La notion de soustraction de l'art. 141 CP comprend également l'hypothèse de la dissimulation de la chose mobilière (M. DUPUIS / L. MOREILLON / C. PIGUET / S. BERGER / M. MAZOU / V. RODIGARI (éds), op. cit., n. 5, ad art.141). Le Tribunal fédéral a précisé que la violation d'une simple obligation contractuelle de restituer une chose ne constituait pas un acte de soustraction, à moins que l'auteur ne cache ou ne retienne la chose de façon à empêcher le lésé de la récupérer (M. DUPUIS / L. MOREILLON / C. PIGUET / S. BERGER / M. MAZOU / V. RODIGARI (éds), op. cit., n. 7, ad art.141).</w:t>
      </w:r>
    </w:p>
    <w:p>
      <w:r>
        <w:rPr>
          <w:b/>
        </w:rPr>
        <w:t>E. 3.3</w:t>
      </w:r>
    </w:p>
    <w:p>
      <w:r>
        <w:t>En l'espèce, le Ministère public soutient que la recourante n'a pas rendu vraisemblable un acte d'appropriation effectif, ce qui justifiait une non-entrée en matière. Il n'est pas contesté que le véhicule litigieux est demeuré propriété de la recourante. Il ressort également du dossier que le mis en cause a refusé de collaborer et de révéler où se trouvait le véhicule qui, à ce jour, n'a pas pu être localisé. La recourante n'a donc à ce jour pas pu le récupérer. De plus, selon les éléments produits au stade du recours, un retrait de plaques a été sollicité, fin novembre 2024, en raison du non-paiement des primes d'assurance, ce qui peut constituer un indice d'une éventuelle exportation du véhicule à l'étranger. Il paraît dès lors vraisemblable que le mis en cause a eu l'intention de dissimuler le véhicule à la recourante afin de l'empêcher de le reprendre. Dans ces conditions, on ne peut valablement considérer que le mis en cause a simplement cessé de verser les mensualités de leasing et omis de restituer le véhicule, sans autre acte d'appropriation. Par ailleurs, le Ministère public retient que la police n'a pas été en mesure de localiser le mis en cause, raison pour laquelle il avait renoncé à délivrer un mandat d'arrêt à son encontre.</w:t>
      </w:r>
    </w:p>
    <w:p>
      <w:r>
        <w:t>- 8/10 - P/16115/2024 Or, il ressort du rapport de renseignements que les seuls actes d'enquête entrepris ont consisté en une visite à l'adresse mentionnée sur les documents de leasing et à se renseigner auprès de la régie, laquelle a confirmé que les noms du mis en cause et de G______ n'étaient pas enregistrés à cette adresse. Forte de ces constats, la police a sollicité des actes d'enquête qui permettraient de localiser le mis en cause et le véhicule, soit la délivrance d'un avis de recherche et d'arrestation et l'inscription de la voiture au RIPOL. Au surplus, aucune démarche n'a été effectuée auprès des autorités administratives compétentes pour déterminer le statut du mis en cause en Suisse, en particulier, s'il avait bien quitté le territoire ou si une nouvelle adresse avait été enregistrée. Aucune recherche n'a non plus été entreprise pour trouver G______, alors que, selon un des documents produits, celui-ci semblait recevoir le courrier du mis en cause et était dès lors susceptible d'avoir des informations le concernant. Partant, au vu de ce qui précède, le prononcé d'une ordonnance de non-entrée en matière paraît prématuré. Il appartiendra donc au Ministère public de compléter l'enquête dans le sens qui précède, avant de décider de la suite à donner à la procédure.</w:t>
      </w:r>
    </w:p>
    <w:p>
      <w:r>
        <w:rPr>
          <w:b/>
        </w:rPr>
        <w:t>E. 4</w:t>
      </w:r>
    </w:p>
    <w:p>
      <w:r>
        <w:t>Fondé, le recours doit être admis; l'ordonnance querellée sera ainsi annulée et la cause renvoyée au Ministère public pour ouverture d'une instruction.</w:t>
      </w:r>
    </w:p>
    <w:p>
      <w:r>
        <w:rPr>
          <w:b/>
        </w:rPr>
        <w:t>E. 5</w:t>
      </w:r>
    </w:p>
    <w:p>
      <w:r>
        <w:t>L'admission du recours ne donne pas lieu à la perception de frais (art. 428 al. 4 CPP).</w:t>
      </w:r>
    </w:p>
    <w:p>
      <w:r>
        <w:rPr>
          <w:b/>
        </w:rPr>
        <w:t>E. 6</w:t>
      </w:r>
    </w:p>
    <w:p>
      <w:r>
        <w:t>La recourante, partie plaignante qui obtient gain de cause, a demandé l'octroi d'une juste indemnité comprenant les dépenses obligatoires occasionnées, pour la procédure de recours.</w:t>
      </w:r>
    </w:p>
    <w:p>
      <w:r>
        <w:rPr>
          <w:b/>
        </w:rPr>
        <w:t>E. 6.1</w:t>
      </w:r>
    </w:p>
    <w:p>
      <w:r>
        <w:t>En vertu de l'art. 436 al. 1 CPP, les prétentions en indemnités dans les procédures de recours sont régies par les art. 429 à 434 CPP.</w:t>
      </w:r>
    </w:p>
    <w:p>
      <w:r>
        <w:rPr>
          <w:b/>
        </w:rPr>
        <w:t>E. 6.2</w:t>
      </w:r>
    </w:p>
    <w:p>
      <w:r>
        <w:t>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ACPR/66/2024 du 26 janvier 2024 consid. 5.1).</w:t>
      </w:r>
    </w:p>
    <w:p>
      <w:r>
        <w:rPr>
          <w:b/>
        </w:rPr>
        <w:t>E. 6.3</w:t>
      </w:r>
    </w:p>
    <w:p>
      <w:r>
        <w:t>Eu égard à ses écritures, soit un recours de 21 pages (page de garde et conclusions comprises), dont 12 pages de discussion juridique dans une affaire sans complexité</w:t>
      </w:r>
    </w:p>
    <w:p>
      <w:r>
        <w:t>- 9/10 - P/16115/2024 particulière et à laquelle la recourante est rompue (cf. notamment ACPR/331/2023 du</w:t>
      </w:r>
    </w:p>
    <w:p>
      <w:r>
        <w:rPr>
          <w:b/>
        </w:rPr>
        <w:t>E. 9</w:t>
      </w:r>
    </w:p>
    <w:p>
      <w:r>
        <w:t>mai 2023 et ACPR/654/2018 du 8 novembre 2018), une réplique de 5 pages (page de garde comprise) et un complément d'une page et demi, le montant de CHF 2'432.25 réclamé paraît excessif et sera ramené à CHF 1'459.35 correspondant à 3h d'activité, au tarif horaire demandé, TVA (8.1%) comprise. Cette indemnité sera mise à la charge de l'État. * * * * *</w:t>
      </w:r>
    </w:p>
    <w:p>
      <w:r>
        <w:t>- 10/10 - P/16115/2024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