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ACPR/211/2020 vom 28. Februar 2020</w:t>
      </w:r>
    </w:p>
    <w:p>
      <w:r>
        <w:t>GE Cour de justice, 2020-02-28, FR</w:t>
      </w:r>
    </w:p>
    <w:p>
      <w:r>
        <w:rPr>
          <w:b/>
        </w:rPr>
        <w:t xml:space="preserve">Quelle: </w:t>
      </w:r>
      <w:r>
        <w:t>https://mcp.opencaselaw.ch/entscheid/ge_gerichte_ACPR_211_2020</w:t>
      </w:r>
    </w:p>
    <w:p>
      <w:r>
        <w:t>FR: GE_GERICHTE ACPR/211/2020 du 28 février 2020</w:t>
      </w:r>
    </w:p>
    <w:p>
      <w:r>
        <w:t>IT: GE_GERICHTE ACPR/211/2020 del 28 febbraio 2020</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Bâle 2011, n. 30 ad art. 363) sujette à recours, dans les délai et forme requis (art. 384 let. b, 385 al. 1, 390 al. 1 et 396 al. 1 CPP) et par le condamné, disposant d'un intérêt juridiquement protégé à l'annulation ou à la modification de la décision attaquée (art. 382 al. 1 CPP),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et 4d; S. TRECHSEL, op. cit., Zurich, 2008, n. 8-9 ad art. 86).</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w:t>
      </w:r>
    </w:p>
    <w:p>
      <w:r>
        <w:t>- 5/7 - PM/239/2020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3.2</w:t>
      </w:r>
    </w:p>
    <w:p>
      <w:r>
        <w:t>En l'espèce, la condition objective d'une libération conditionnelle est, certes, réalisée depuis le 5 mars 2020 et le recourant ne s'est jamais vu accorder de libération conditionnelle. Toutefois, il ne bénéficie pas de préavis positifs, hormis, peut-être, celui de l'établissement de détention, qui ne suffit toutefois pas, à lui seul. Entre le 10 mars 2008 et le 22 août 2019, le recourant a été condamné à douze reprises, donc une fois par année en moyenne, principalement pour des vols et autres atteintes au patrimoine, des infractions à la LStup et pour des actes de violence ou menace contre les autorités et les fonctionnaires. Le risque de réitération pour des actes de même nature est dès lors très concret, les projets d'avenir du recourant étant inconsistants. Il allègue vouloir habiter et travailler en France dès sa sortie de prison, mais ne dispose pas de permis de séjour, ni de travail, dans ce pays. Il ne semble d'ailleurs pas participer aux démarches des autorités administratives suisses visant à l'identifier. Sans aucun document d'identité, ses chances de suivre une formation pour ouvrir un salon de coiffure paraissent peu réalistes. En cas de libération conditionnelle, le recourant se retrouverait ainsi dans la même précarité que celle ayant conduit à ses récentes récidives. L'assurance selon laquelle la présence de sa compagne à ses côtés l'empêcherait de commettre des infractions est peu crédible puisqu'il a suffi qu'elle s'absente durant les vacances pour qu'il commette de nouveaux vols, en Suisse. Il résulte ainsi de l'appréciation de l'ensemble des éléments que le risque de récidive – d'infractions commises déjà, pour certaines, à plusieurs reprises – est trop élevé pour accorder au recourant l'élargissement demandé, ce que le premier juge a correctement évalué.</w:t>
      </w:r>
    </w:p>
    <w:p>
      <w:r>
        <w:rPr>
          <w:b/>
        </w:rPr>
        <w:t>E. 4</w:t>
      </w:r>
    </w:p>
    <w:p>
      <w:r>
        <w:t>Justifié, le jugement querellé sera donc confirmé.</w:t>
      </w:r>
    </w:p>
    <w:p>
      <w:r>
        <w:rPr>
          <w:b/>
        </w:rPr>
        <w:t>E. 5</w:t>
      </w:r>
    </w:p>
    <w:p>
      <w:r>
        <w:t>Le recourant, qui succombe, supportera les frais envers l'État, qui seront fixés en totalité à CHF 900.- (art. 428 al. 1 CPP et 13 al. 1 du Règlement fixant le tarif des frais en matière pénale, RTFMP ; E 4 10.03). * * * * *</w:t>
      </w:r>
    </w:p>
    <w:p>
      <w:r>
        <w:t>- 6/7 - PM/239/2020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