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ACPR/210/2021 vom 13. Oktober 2020</w:t>
      </w:r>
    </w:p>
    <w:p>
      <w:r>
        <w:t>GE Cour de justice, 2020-10-13, FR</w:t>
      </w:r>
    </w:p>
    <w:p>
      <w:r>
        <w:rPr>
          <w:b/>
        </w:rPr>
        <w:t xml:space="preserve">Quelle: </w:t>
      </w:r>
      <w:r>
        <w:t>https://mcp.opencaselaw.ch/entscheid/ge_gerichte_ACPR_210_2021</w:t>
      </w:r>
    </w:p>
    <w:p>
      <w:r>
        <w:t>FR: GE_GERICHTE ACPR/210/2021 du 13 octobre 2020</w:t>
      </w:r>
    </w:p>
    <w:p>
      <w:r>
        <w:t>IT: GE_GERICHTE ACPR/210/2021 del 13 ottobre 2020</w:t>
      </w:r>
    </w:p>
    <w:p>
      <w:pPr>
        <w:pStyle w:val="Heading2"/>
      </w:pPr>
      <w:r>
        <w:t>Erwägungen</w:t>
      </w:r>
    </w:p>
    <w:p>
      <w:r>
        <w:rPr>
          <w:b/>
        </w:rPr>
        <w:t>E. 1.1</w:t>
      </w:r>
    </w:p>
    <w:p>
      <w:r>
        <w:t>Le recours est recevable pour avoir été déposé dans le délai – les réquisits de l'art. 85 al. 2 CPP n'ayant pas été observés – et selon la forme utiles (art. 90 al. 2, 385 al. 1, 390 al. 1 et 396 al. 1 CPP), concerner une ordonnance de non-entrée en matière, décision sujette à contestation auprès de la Chambre de céans (art. 310 al. 2 cum art. 322 al. 2 CPP; art. 393 al. 1 let. a CPP), et émaner de la plaignante qui, partie à la procédure (art. 104 al. 1 let. b CPP), a qualité pour agir, ayant un intérêt juridiquement protégé à voir poursuivre la violation alléguée du droit à son entretien (art. 115 et 382 al. 1 CPP).</w:t>
      </w:r>
    </w:p>
    <w:p>
      <w:r>
        <w:rPr>
          <w:b/>
        </w:rPr>
        <w:t>E. 1.2</w:t>
      </w:r>
    </w:p>
    <w:p>
      <w:r>
        <w:t>Il en va de même des pièces nouvelles produites devant la Chambre de céans (arrêt du Tribunal fédéral 1B_368/2014 du 5 février 2015 consid. 3.1 et 3.2).</w:t>
      </w:r>
    </w:p>
    <w:p>
      <w:r>
        <w:rPr>
          <w:b/>
        </w:rPr>
        <w:t>E. 2.1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s'il apparaît clairement que les faits ne sont pas punissables. Le ministère public et l'autorité de recours disposent, dans ce cadre, d'un pouvoir d'appréciation (arrêt du Tribunal fédéral 6B_854/2020 du 19 janvier 2021 consid. 2.1 et les références citées).</w:t>
      </w:r>
    </w:p>
    <w:p>
      <w:r>
        <w:rPr>
          <w:b/>
        </w:rPr>
        <w:t>E. 2.2</w:t>
      </w:r>
    </w:p>
    <w:p>
      <w:r>
        <w:t>L'art. 217 CP punit, sur plainte, celui qui, intentionnellement,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(arrêt du Tribunal fédéral 6B_540/2020 du 22 octobre 2020 consid. 2.3). Pour déterminer si l'auteur a respecté ses devoirs, il ne suffit pas de constater l'existence d'une obligation d'entretien, mais il faut encore en déterminer l'étendue. Lorsque la quotité des aliments a été fixée dans le dispositif d'un jugement civil valable et exécutoire, le juge pénal appelé à statuer sur l'art. 217 CP est, dans la règle, lié par ce montant (méthode dite indirecte; ATF 136 IV 122 consid. 2.3; arrêt du Tribunal fédéral 6B_509/2008 du 29 août 2008 consid. 2.1 et les références citées). En revanche, ce magistrat peut, lorsque la contribution n'est arrêtée ni par convention ni par jugement, la fixer lui-même, en appréciant l'ensemble des circonstances (méthode dite directe; ATF 128 IV 86 consid. 2; arrêt du Tribunal fédéral 6B_797/2016 du 15 août 2017 consid. 4.3).</w:t>
      </w:r>
    </w:p>
    <w:p>
      <w:r>
        <w:t>- 5/7 - P/11754/2020</w:t>
      </w:r>
    </w:p>
    <w:p>
      <w:r>
        <w:rPr>
          <w:b/>
        </w:rPr>
        <w:t>E. 2.3</w:t>
      </w:r>
    </w:p>
    <w:p>
      <w:r>
        <w:t>En matière de mesures protectrices de l'union conjugale, le principe et le montant de la contribution d'entretien due à l’époux selon l'art. 176 al. 1 ch. 1 CC se déterminent en fonction des facultés économiques et des besoins respectifs des conjoints. En présence d'une situation financière favorable, le crédirentier peut prétendre au maintien de son train de vie antérieur (arrêt du Tribunal fédéral 5A_170/2020 du 26 janvier 2021 consid. 4.2). Si les revenus suffisent à l'entretien des époux, la substance de la fortune n'est normalement pas prise en considération pour fixer le montant des aliments. Mais, dans le cas contraire, rien ne s'oppose, en principe, à ce que l'entretien soit assuré par la fortune, le cas échéant même par les biens propres (arrêt du Tribunal fédéral 5A_405/2019 du 24 février 2020 consid. 4.1).</w:t>
      </w:r>
    </w:p>
    <w:p>
      <w:r>
        <w:rPr>
          <w:b/>
        </w:rPr>
        <w:t>E. 2.4</w:t>
      </w:r>
    </w:p>
    <w:p>
      <w:r>
        <w:t>En l’espèce, l’absence de jugement civil statuant sur l’entretien de la recourante est impropre à faire obstacle à l’application de l’art. 217 CP. Il résulte de la procédure, singulièrement de l’OTPI/566/2020, que les époux ont eu un train de vie aisé durant la vie commune, les dépenses de la famille totalisant CHF 350'000.- par an. La recourante ne semble guère à même de maintenir ce train de vie sans l’assistance du mis en cause, dès lors qu’elle n’a plus travaillé depuis 1993 et qu’elle est âgée de 58 ans. Sa fortune est, de plus, sensiblement inférieure à celle de son époux – lequel dispose à tout le moins de CHF 1'15'000.-, correspondant à la part non bloquée du compte qu’il détient en Suisse –. Cette situation permet de retenir, à ce stade, que le conjoint doit, sur le principe, contribuer à l’entretien de son épouse. Le TPI a d’ailleurs jugé que la recourante aurait probablement droit à une contribution, l’intéressée ayant réclamé l’octroi d’aliments avec effet rétroactif au jour de la séparation. Conscient des besoins de son épouse, le mis en cause s’est spontanément acquitté de l’ensemble des charges de cette dernière, semble-t-il entre août 2019 et mars 2020. Il a, par la suite, cessé ces versements, prétextant que sa situation financière ne lui permettrait plus d’assumer ses propres dépenses. Le juge civil a toutefois tenu pour peu crédibles ses explications. Des considérations qui précèdent, il résulte qu’en ayant cessé tout versement en faveur de son épouse, le mis en cause pourrait avoir violé l’art. 217 CP.</w:t>
      </w:r>
    </w:p>
    <w:p>
      <w:r>
        <w:t>- 6/7 - P/11754/2020 En présence d'une prévention pénale suffisante, le Ministère public ne pouvait refuser d'entrer en matière sur la plainte pénale, mais devait, au vu des éléments en sa possession, ouvrir une instruction. Aussi, l’ordonnance attaquée sera-t-elle annulée, dans la mesure où elle porte sur l’infraction à l’art. 217 CP, et la procédure, renvoyée au Procureur pour l'ouverture d'une instruction contre le mis en cause.</w:t>
      </w:r>
    </w:p>
    <w:p>
      <w:r>
        <w:rPr>
          <w:b/>
        </w:rPr>
        <w:t>E. 3</w:t>
      </w:r>
    </w:p>
    <w:p>
      <w:r>
        <w:t>La recourante obtient gain de cause (art. 428 al. 1 CPP). Partant, les frais afférents au recours seront laissés à la charge de l’État (art. 428 al. 4 CPP) et les sûretés versées, restituées à la plaignante.</w:t>
      </w:r>
    </w:p>
    <w:p>
      <w:r>
        <w:rPr>
          <w:b/>
        </w:rPr>
        <w:t>E. 4</w:t>
      </w:r>
    </w:p>
    <w:p>
      <w:r>
        <w:t>Représentée par un avocat, cette dernière n’a pas chiffré ni justifié de prétentions en indemnité au sens de l'art. 433 al. 2 CPP, applicable en instance de recours (art. 436 al. 1 CPP), de sorte qu'il ne lui en sera point alloué (arrêt du Tribunal fédéral 6B_1345/2016 du 30 novembre 2017 consid. 7.2).</w:t>
      </w:r>
    </w:p>
    <w:p>
      <w:r>
        <w:t>* * * * *</w:t>
      </w:r>
    </w:p>
    <w:p>
      <w:r>
        <w:t>- 7/7 - P/11754/2020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