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ACPR/20/2020 vom 23. Dezember 2019</w:t>
      </w:r>
    </w:p>
    <w:p>
      <w:r>
        <w:t>GE Cour de justice, 2019-12-23, FR</w:t>
      </w:r>
    </w:p>
    <w:p>
      <w:r>
        <w:rPr>
          <w:b/>
        </w:rPr>
        <w:t xml:space="preserve">Quelle: </w:t>
      </w:r>
      <w:r>
        <w:t>https://mcp.opencaselaw.ch/entscheid/ge_gerichte_ACPR_20_2020</w:t>
      </w:r>
    </w:p>
    <w:p>
      <w:r>
        <w:t>FR: GE_GERICHTE ACPR/20/2020 du 23 décembre 2019</w:t>
      </w:r>
    </w:p>
    <w:p>
      <w:r>
        <w:t>IT: GE_GERICHTE ACPR/20/2020 del 23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w:t>
      </w:r>
    </w:p>
    <w:p>
      <w:r>
        <w:t>- 6/9 - P/25787/2019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de sorte qu'il n'y a pas lieu de s'y attarder, d'autant plus qu'il a admis avoir vendu à trois reprises des montres contrefaites.</w:t>
      </w:r>
    </w:p>
    <w:p>
      <w:r>
        <w:rPr>
          <w:b/>
        </w:rPr>
        <w:t>E. 3</w:t>
      </w:r>
    </w:p>
    <w:p>
      <w:r>
        <w:t>Il conteste l'intensité du risque de fuite et propose des mesures de substitution.</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w:t>
      </w:r>
    </w:p>
    <w:p>
      <w:r>
        <w:rPr>
          <w:b/>
        </w:rPr>
        <w:t>E. 3.2</w:t>
      </w:r>
    </w:p>
    <w:p>
      <w:r>
        <w:t>En l'espèce, le recourant est de nationalité française et domicilié en France. Sa société genevoise n'apparaît pas dans une situation aussi pérenne qu'il le laisse entendre, ayant déjà dû la déménager pour des raisons administratives et, au dire de son co-prévenu, il pensait fermer le magasin. Comme le relève le Ministère public, il pourrait tout aussi bien créer une société du même type en France. Il n'a pas d'autres attaches avec la Suisse. La peine-menace de l'escroquerie par métier pourrait à l'évidence l'inciter à fuir la Suisse. Le risque de fuite est dès lors concret et important. Les mesures de substitution proposées ne sont pas de nature à le pallier, contrairement à ce que le Ministère public a estimé. La caution de CHF 5'000.-, qui plus est versée par ses parents, n'est pas de nature à l'inciter à se présenter aux convocations et jugement en Suisse, lui qui a réalisé des bénéfices de l'ordre de CHF 15'000.-, au moins, dont on ignore ce qu'il en a fait, par son activité criminelle. L'obligation de séjourner en France voisine n'est pas pertinente; le risque de fuite redouté étant celui qu'il quitte la Suisse vers la France, pays qui n'extrade pas ses nationaux, il est incongru de proposer une obligation de résidence à ______ (France).</w:t>
      </w:r>
    </w:p>
    <w:p>
      <w:r>
        <w:rPr>
          <w:b/>
        </w:rPr>
        <w:t>E. 4</w:t>
      </w:r>
    </w:p>
    <w:p>
      <w:r>
        <w:t>Compte tenu du risque de fuite retenu, point n'est besoin d'examiner si s'y ajoute, en outre, un risque de collusion (arrêt du Tribunal fédéral 1B_322/2019 du 17 juillet 2019 consid. 3.3 et la jurisprudence citée).</w:t>
      </w:r>
    </w:p>
    <w:p>
      <w:r>
        <w:rPr>
          <w:b/>
        </w:rPr>
        <w:t>E. 5</w:t>
      </w:r>
    </w:p>
    <w:p>
      <w:r>
        <w:t>Le recours s'avère ainsi infondé et doit être rejeté.</w:t>
      </w:r>
    </w:p>
    <w:p>
      <w:r>
        <w:t>- 7/9 - P/25787/2019</w:t>
      </w:r>
    </w:p>
    <w:p>
      <w:r>
        <w:rPr>
          <w:b/>
        </w:rPr>
        <w:t>E. 6</w:t>
      </w:r>
    </w:p>
    <w:p>
      <w:r>
        <w:t>Le recourant, qui succombe, supportera les frais envers l'État, qui comprendront un émolument de CHF 900.- (art. 428 al. 1 CPP et 13 al. 1 du Règlement fixant le tarif des frais en matière pénale, RTFMP ; E 4 10.03). * * * * *</w:t>
      </w:r>
    </w:p>
    <w:p>
      <w:r>
        <w:t>- 8/9 - P/25787/2019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