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ACPR/208/2025 vom 12. November 2024</w:t>
      </w:r>
    </w:p>
    <w:p>
      <w:r>
        <w:t>GE Cour de justice, 2024-11-12, FR</w:t>
      </w:r>
    </w:p>
    <w:p>
      <w:r>
        <w:rPr>
          <w:b/>
        </w:rPr>
        <w:t xml:space="preserve">Quelle: </w:t>
      </w:r>
      <w:r>
        <w:t>https://mcp.opencaselaw.ch/entscheid/ge_gerichte_ACPR_208_2025</w:t>
      </w:r>
    </w:p>
    <w:p>
      <w:r>
        <w:t>FR: GE_GERICHTE ACPR/208/2025 du 12 novembre 2024</w:t>
      </w:r>
    </w:p>
    <w:p>
      <w:r>
        <w:t>IT: GE_GERICHTE ACPR/208/2025 del 12 novembre 2024</w:t>
      </w:r>
    </w:p>
    <w:p>
      <w:pPr>
        <w:pStyle w:val="Heading2"/>
      </w:pPr>
      <w:r>
        <w:t>Erwägungen</w:t>
      </w:r>
    </w:p>
    <w:p>
      <w:r>
        <w:rPr>
          <w:b/>
        </w:rPr>
        <w:t>E. 1</w:t>
      </w:r>
    </w:p>
    <w:p>
      <w:r>
        <w:t>Vu leur connexité évidente, les deux recours seront joints et traités en un seul arrêt.</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rPr>
          <w:b/>
        </w:rPr>
        <w:t>E. 3</w:t>
      </w:r>
    </w:p>
    <w:p>
      <w:r>
        <w:t>La recourante déplore une constatation erronée des faits. Dans la mesure où la Chambre de céans jouit d'un plein pouvoir de cognition en droit et en fait (art. 393 al. 2 CPP; ATF 137 I 195 consid. 2.3.2; arrêt du Tribunal fédéral 1B_524/2012 du 15 novembre 2012 consid. 2.1), les éventuelles constatations incomplètes ou erronées auront été corrigées dans l'état de fait établi ci-devant. Partant, le grief sera rejeté.</w:t>
      </w:r>
    </w:p>
    <w:p>
      <w:r>
        <w:rPr>
          <w:b/>
        </w:rPr>
        <w:t>E. 4</w:t>
      </w:r>
    </w:p>
    <w:p>
      <w:r>
        <w:t>La recourante reproche au Ministère public un déni de justice.</w:t>
      </w:r>
    </w:p>
    <w:p>
      <w:r>
        <w:rPr>
          <w:b/>
        </w:rPr>
        <w:t>E. 4.1</w:t>
      </w:r>
    </w:p>
    <w:p>
      <w:r>
        <w:t>Commet un tel déni, prohibé par l'art. 29 al. 1 Cst. féd., le magistrat qui ne traite pas un grief relevant de sa compétence, motivé de façon suffisante et pertinent pour l'issue du litige (arrêt du Tribunal fédéral 1B_191/2022 du 21 septembre 2022 consid. 4.1).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sauf être tenue de répondre à tous les arguments qui lui sont présentés (ATF 129 I 232 consid. 3.2; 126 I 97 consid. 2b; 124 II 146 consid. 2a; 124 V 180 consid. 1a).</w:t>
      </w:r>
    </w:p>
    <w:p>
      <w:r>
        <w:t>Ce manquement peut toutefois être réparé devant la juridiction supérieure qui dispose d'un plein pouvoir d'examen, pour autant que l'autorité intimée ait justifié et expliqué sa décision dans un mémoire de réponse et que le recourant ait eu la possibilité de s'exprimer sur ces points dans une écriture complémentaire (ATF 125 I 209 consid. 9a p. 219). La Haute cour admet également la réparation d'une violation du droit d'être entendu, y compris en présence d'un vice grave, lorsqu'un renvoi à l'instance inférieure</w:t>
      </w:r>
    </w:p>
    <w:p>
      <w:r>
        <w:t>- 20/28 - P/9702/2015 constituerait une vaine formalité, respectivement aboutirait à un allongement inutile de la procédure, incompatible avec l'intérêt de la partie concernée à ce que sa cause soit tranchée dans un délai raisonnable (ATF 145 I 167 consid. 4.4).</w:t>
      </w:r>
    </w:p>
    <w:p>
      <w:r>
        <w:rPr>
          <w:b/>
        </w:rPr>
        <w:t>E. 4.2</w:t>
      </w:r>
    </w:p>
    <w:p>
      <w:r>
        <w:t>En l'espèce, le Ministère public n'a certes pas mentionné dans les ordonnances querellées le complexe de faits visant la dissociation des primes et des contrats d'options par le prévenu O______. Il a tout de même considéré qu'il n'existait aucun élément de preuve permettant d'établir que les collaborateurs de la Banque auraient prêté assistance aux autres prévenus pour dissimuler la performance négative des tiers- gérants. Au contraire, l'ayant droit économique bénéficiait d'un droit de regard sur les comptes et était au courant des pertes issues de la gestion. Il ressort de l'argumentation développée par la recourante dans ses écritures qu'elle a compris la motivation, même succincte, relative audit complexe de faits, des décisions querellées, de sorte que le grief doit être rejeté. En tout état, un renvoi de la cause au Ministère public constituerait une vaine formalité, au vu des raisons qui seront exposées ci-après.</w:t>
      </w:r>
    </w:p>
    <w:p>
      <w:r>
        <w:rPr>
          <w:b/>
        </w:rPr>
        <w:t>E. 5</w:t>
      </w:r>
    </w:p>
    <w:p>
      <w:r>
        <w:t>La recourante reproche au Ministère public de n'avoir pas retenu que B______ et C______ s'étaient rendus coupables de complicité de gestion déloyale aggravée.</w:t>
      </w:r>
    </w:p>
    <w:p>
      <w:r>
        <w:rPr>
          <w:b/>
        </w:rPr>
        <w:t>E. 5.1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t>Cette disposition doit être appliquée conformément à l'adage "in dubio pro duriore", qui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arrêt du Tribunal fédéral 6B_874/2017 du 18 avril 2018 consid. 5.1).</w:t>
      </w:r>
    </w:p>
    <w:p>
      <w:r>
        <w:t>5.2.1. L'art. 158 CP punit le gérant d'affaires qui, en agissant avec (ch. 1 al. 1) ou sans mandat (ch. 1 al. 2), viole les devoirs auxquels il est tenu et, ce faisant, porte atteinte aux intérêts pécuniaires du tiers pour le compte duquel il intervient. Le cas de gestion</w:t>
      </w:r>
    </w:p>
    <w:p>
      <w:r>
        <w:t>- 21/28 - P/9702/2015 déloyale aggravé est réalisé lorsque l'auteur a agi dans le dessein de se procurer ou de procurer à un tiers un enrichissement illégitime (ch. 1 al. 3).</w:t>
      </w:r>
    </w:p>
    <w:p>
      <w:r>
        <w:t>5.2.2. Celui qui participe à l'infraction à l'art. 158 CP sans toutefois revêtir la qualité de gérant peut être poursuivi au titre de complice (art. 25 et 26 CP; A. MACALUSO/ L. MOREILLON/ N. QUELOZ (éds), Commentaire romand, Code pénal II, vol. II, Partie spéciale : art. 111-392 CP, Bâle 2017, n. 7 ad art. 158). La complicité n'est punissable que si l'acte commis par l'auteur principal réalise les éléments constitutifs d'une infraction et s'avère en outre illicite (principe dit de l'accessoriété limitée; arrêt du Tribunal fédéral 6B_1079/2010 du 3 mars 2011 consid. 4.2). 5.2.3. Le complice est un participant secondaire qui prête assistance pour commettre un crime ou un délit (art. 25 CP). La complicité suppose que le participant ait apporté à l'auteur principal une contribution causale à la réalisation de l'infraction, de telle sorte que les événements ne se seraient pas déroulés de la même manière sans cette contribution. La contribution du complice est subordonnée: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La seule approbation de l'infraction commise par un tiers ne constitue pas un acte de complicité (ATF 113 IV 83 consid. 4).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de sorte que son omission peut être assimilée au fait de provoquer le résultat par un comportement actif (art. 11 al. 2 et 3 CP ; ATF 136 IV 188 consid. 6.2 ; ATF 134 IV 255 consid. 4.2.1 et les références citées).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(ATF 132 IV 49 consid. 1.1 p. 51-52 ; 121 IV 109 consid. 3a p. 119-120). 5.2.4. Il y a dol éventuel lorsque l'auteur envisage le résultat dommageable ou la réalisation de l'infraction et passe néanmoins à l'action, car il accepte le résultat au cas où il se produirait et s'en accommode, même s'il ne le souhaite pas. Il s'agit d'une forme d'intention, qui se distingue de la négligence consciente sur le plan volitif, non pas cognitif. Dans les deux cas, l'auteur est conscient que le résultat illicite pourrait se</w:t>
      </w:r>
    </w:p>
    <w:p>
      <w:r>
        <w:t>- 22/28 - P/9702/2015 produire, mais, alors que celui qui agit par négligence consciente escompte qu'il ne se produira pas, celui qui agit par dol éventuel l'accepte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(ATF 134 IV 26 consid. 3.2.2 et 3.2.3 p. 29; 125 IV 242 consid. 3c in fine p. 252). 5.2.5. Le devoir d'information d'une banque à l'égard de son client est plus ou moins étendu selon le type de contrat qui les lie – gestion de fortune, conseil en placement ou simple compte/dépôt bancaire – (arrêt du Tribunal fédéral 4A_54/2017 du 29 janvier 2018 consid. 5.1.2 à 5.1.4). Dans ce dernier cas de figure (execution only), la banque n'a pas, en présence d'un gérant externe au bénéfice d'une procuration donnée par le client, à rendre attentif ce dernier aux risques élevés qu'il encourt, ni à requérir son autorisation avant d'exécuter les opérations demandées par le gérant; en effet, le banquier n'est pas le tuteur de son client et il doit, en principe, exécuter les ordres licites qui lui sont donnés;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 vertu duquel le client peut, sur la base des règles de la bonne foi, attendre conseil et mise en garde de la banque, même s'il n'a rien demandé (ATF 133 III 97 consid. 7.1.1 et 7.1.2; arrêt du Tribunal fédéral 4C_366/2004 du 4 novembre 2005 consid. 3.1). 5.2.6. En vertu de l'art. 400 al. 1 CO, le mandataire est tenu, à la demande du mandant, de lui rendre en tout temps compte de sa gestion et de lui restituer tout ce qu'il a reçu de ce chef, à quelque titre que ce soit. L'obligation de rendre compte a pour but de garantir le respect de l'obligation de diligence et de fidélité du mandataire (art. 398 al. 2 CO) et de sauvegarder les intérêts du mandant. Elle a pour objet non seulement ce que le mandataire a reçu du mandant ou a lui-même créé, mais également ce qu'il a reçu de tiers, y compris les avantages indirects, telles que les rétrocessions, lorsqu'ils sont intrinsèquement liés au mandat (comme résultat indirect de l'exécution du mandat) (ATF 143 III 348 consid. 5.1.2 et les références citées; 138 III 755 consid. 4.2; 137 III 393 consid. 2.1). L'information sur les rétrocessions versées par une banque dépositaire à un tiers-gérant ne constitue pas un élément nécessaire au contrôle de l'activité du mandataire et, partant, cette information n'entre pas dans le champ d'application de l'art. 400 CO. Le mandant doit donc s'adresser directement au tiers-gérant pour obtenir des informations à ce sujet (arrêt du Tribunal fédéral 4A_436/2020 du 28 avril 2022 consid. 7.5.2).</w:t>
      </w:r>
    </w:p>
    <w:p>
      <w:r>
        <w:t>- 23/28 - P/9702/2015 5.3.1. En l'espèce, la recourante reproche aux intimés de ne pas l'avoir informée des pertes réalisées sur ses relations bancaires par les tiers-gérants et d'avoir collaboré avec les autres prévenus pour dissimuler la performance négative de ses portefeuilles. Force est de constater qu'aucun élément concret ne permet de conclure que les collaborateurs de la Banque auraient à un quelconque moment accepté de prêter assistance à des actes de gestion déloyale dont est soupçonné O______, ni même envisagé cette possibilité. En effet, il ressort de l'instruction que la recourante recevait les relevés bancaires, lesquels faisaient état des résultats de ses comptes, étant précisé que P______ – agissant comme banque dépositaire, sans être au bénéfice d'un mandat de gestion discrétionnaire – n'était pas tenue à une sauvegarde générale des intérêts du mandant ni à le conseiller sur les développements probables des investissements choisis ou sur les mesures à prendre pour limiter les risques. En outre, l'ayant droit économique, et son fils, se sont vu octroyer un droit de regard sur les comptes au nom de A______ INC., le dernier nommé ayant – de ses propres aveux – eu accès aux documents bancaires dans les locaux de G______/H______ SA. Certes, l'ayant droit économique de la recourante a contesté avoir été informé des résultats de la gestion lors de la réunion du 4 mars 2011. Cela étant, B______ a envoyé, le 10 suivant, à l'administrateur de l'époque de la recourante, des estimations des portefeuilles, lesquelles faisaient état des pertes sur les comptes 1______ et 2______. Que l'administrateur en question ait été – selon la recourante –, en tant que signataire de A______ INC. et administrateur du G______/H______ SA, en situation de conflit d'intérêts ne change rien, dès lors que rien ne permettait de retenir que les collaborateurs de la Banque savaient – ou auraient dû savoir – que D______ ne transmettait pas ces informations à l'ayant droit économique et son fils. Enfin, E______ et F______ ont signé, en 2013 et en 2015, les biens-trouvés bancaires, qui renseignaient également sur les résultats des comptes. Quoi qu'en dise la recourante, le premier nommé – au vu de son parcours professionnel et économique – disposait de toutes les compétences pour comprendre la documentation bancaire. Il en allait de même du dernier nommé, lequel a déclaré avoir donné, de concert avec X______, des instructions à O______ sur des investissements à effectuer. Rien ne permet non plus de retenir que les intimés auraient exclu E______ et F______ de la réunion du 28 mars 2011, qui plus est, dans le but allégué de valider à leur insu le transfert de 466 kg d'or sur le compte 2______. En effet le procès-verbal de cette réunion a été ratifié par D______ le 4 avril suivant. De même, le transfert litigieux figurait dans les biens-trouvés de 2013, lesquels ont été signés par l'ayant droit économique des comptes. On ne saurait enfin reprocher aux intimés d'avoir prêté leur concours à O______ dans des opérations de dissociation des primes et des options et ce, dans le but d'accroitre artificiellement la performance du compte 2______. Il ressort en effet des courriels de</w:t>
      </w:r>
    </w:p>
    <w:p>
      <w:r>
        <w:t>- 24/28 - P/9702/2015 la Banque que les transferts ont été validés par les responsables de la salle des marchés – lesquels avaient comme tâche d'examiner si les ordres des tiers gérants étaient conformes aux lignes directrices de la Banque – et par un membre de l'équipe des risques, au motif que les comptes litigieux avaient le même ayant droit économique. Que deux de ces comptes aient fait l'objet d'un mandat de conseil en placement ne changeait rien aux yeux de la Banque, dès lors que le tiers gérant avait une procuration sur toute la relation bancaire. Qui plus est, il ressort des déclarations de F______ que, s'agissant des comptes sous mandat de conseil en placement, lui-même et X______ donnaient des instructions à O______, lequel les transmettait ensuite à la Banque dépositaire. 5.3.2. La recourante semble reprocher aux intimés d'avoir prêté leur concours à O______ dans des opérations de barattage ("churning"). Or, dans la mesure où les collaborateurs de la Banque n'ont jamais été prévenus de ces faits, le grief invoqué pour la première fois dans le cadre du recours est irrecevable. Cela étant, rien ne permet de considérer ici que les intimés disposaient d'éléments pour soupçonner M______ SA et G______/N______ SA d'agir au détriment de la recourante. Ainsi, ils n'étaient pas en mesure de détecter si les opérations effectuées étaient nécessaires pour respecter ou atteindre les objectifs de placement poursuivis et si elles étaient économiquement pertinentes, dès lors que le tiers-gérant passait les ordres directement à la salle des marchés. En outre, il ressort de la décision du Comité des crédits du 31 mars 2011 que les opérations de change étaient cohérentes et demeuraient dans des proportions acceptables. 5.3.3. Enfin, aucun élément ne permet de retenir que les intimés auraient accepté de prêter assistance aux autres prévenus pour dissimuler les rétrocessions perçues par les tiers gérants. Conformément à la jurisprudence sus-rappelée, il incombe au gérant externe – et non pas à la Banque dépositaire – d'informer les mandants sur les rétrocessions que celle- ci aurait versées à celui-là. Par ailleurs, les réponses envoyées à la recourante ont été validées par le service juridique de la Banque, ce qui ressort également de l'audition de sa responsable. Qui plus est, le courriel du 19 octobre 2011 n'a suscité aucune réaction de la part de la recourante. Enfin, les intimés ont communiqué, en 2015, à la recourante les montants des rétrocessions versées aux tiers gérants.</w:t>
      </w:r>
    </w:p>
    <w:p>
      <w:r>
        <w:rPr>
          <w:b/>
        </w:rPr>
        <w:t>E. 6</w:t>
      </w:r>
    </w:p>
    <w:p>
      <w:r>
        <w:t>Justifiées, les ordonnances querellées seront donc confirmées.</w:t>
      </w:r>
    </w:p>
    <w:p>
      <w:r>
        <w:rPr>
          <w:b/>
        </w:rPr>
        <w:t>E. 7</w:t>
      </w:r>
    </w:p>
    <w:p>
      <w:r>
        <w:t>La recourante, qui succombe, supportera les frais envers l'État, qui seront fixés en totalité à CHF 3'000.- (art. 428 al. 1 CPP et 13 al. 1 du Règlement fixant le tarif des frais en matière pénale, RTFMP; E 4 10.03), eu égard au travail généré par le présent arrêt.</w:t>
      </w:r>
    </w:p>
    <w:p>
      <w:r>
        <w:t>- 25/28 - P/9702/2015</w:t>
      </w:r>
    </w:p>
    <w:p>
      <w:r>
        <w:rPr>
          <w:b/>
        </w:rPr>
        <w:t>E. 8</w:t>
      </w:r>
    </w:p>
    <w:p>
      <w:r>
        <w:t>Les intimés, qui obtiennent gain de cause, peuvent prétendre à l'octroi de dépens (art. 429 al. 1 let. a cum art. 436 al. 1 CPP).</w:t>
      </w:r>
    </w:p>
    <w:p>
      <w:r>
        <w:rPr>
          <w:b/>
        </w:rPr>
        <w:t>E. 8.1</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(ACPR/232/2023 du 29 mars 2023 consid. 7.1).</w:t>
      </w:r>
    </w:p>
    <w:p>
      <w:r>
        <w:t>La Cour de justice applique au chef d'étude un tarif horaire de CHF 450.- (arrêt du Tribunal fédéral 2C_725/2010 du 31 octobre 2011 = SJ 2012 I 172; ACPR/279/2014 du 27 mai 2014) et pour les collaborateurs, un taux horaire de CHF 350.- (AARP/65/2017 du 23 février 2017).</w:t>
      </w:r>
    </w:p>
    <w:p>
      <w:r>
        <w:t>8.2.1. En l'occurrence, C______ conclut à l'octroi d'une indemnité de CHF 16'764.05, correspondant à des courriels, des téléphones et des entretiens, ainsi qu'aux activités nécessaires à la rédaction des observations, pour un total de 9h15 au tarif de CHF 600.- et de 25h55 au tarif de CHF 380.-.</w:t>
      </w:r>
    </w:p>
    <w:p>
      <w:r>
        <w:t>Ce temps est excessif. Il sera ramené à 11h au tarif collaborateur de CHF 350.- – respectivement à 5h au tarif d'associé de CHF 450.- –, durée qui apparaît raisonnable et suffisante pour la rédaction d'un mémoire de 48 pages (pages de garde et de conclusions comprises), d'une teneur largement identique aux observations de l'autre intimée. Qui plus est, son conseil était déjà intervenu devant l'autorité précédente et le dossier lui était donc connu.</w:t>
      </w:r>
    </w:p>
    <w:p>
      <w:r>
        <w:t>Une somme de CHF 6'100.- lui sera, ainsi, allouée (11h x CHF 350.- et 5h x CHF 450.- ), hors TVA, vu son domicile à l'étranger (ATF 141 IV 344 consid. 4).</w:t>
      </w:r>
    </w:p>
    <w:p>
      <w:r>
        <w:t>8.2.2. B______ conclut à l'octroi d'une indemnité de CHF 18'214.85 pour la rédaction de ses observations, soit un total d'activité de 5h au tarif demandé de CHF 450.- et de 36h au tarif de CHF 400.-.</w:t>
      </w:r>
    </w:p>
    <w:p>
      <w:r>
        <w:t>L'activité annoncée apparaît excessive pour une écriture de 64 pages (pages de garde et de conclusions comprises), dont seulement sept sont consacrées à la discussion juridique; ce d'autant qu'elle reprend pour l'essentiel l'argumentation développée devant le Ministère public.</w:t>
      </w:r>
    </w:p>
    <w:p>
      <w:r>
        <w:t>- 26/28 - P/9702/2015</w:t>
      </w:r>
    </w:p>
    <w:p>
      <w:r>
        <w:t>L'indemnité sera donc arrêtée ex aequo et bono à CHF 6'756.25 correspondant à 3h d'activité, au tarif de CHF 450.- (associé), et 14h au tarif de CHF 350.- (collaborateur), TVA (8.1%) incluse, laquelle apparaît suffisante. * * * * *</w:t>
      </w:r>
    </w:p>
    <w:p>
      <w:r>
        <w:t>- 27/28 - P/9702/2015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