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ACPR/207/2021 vom 26. November 2020</w:t>
      </w:r>
    </w:p>
    <w:p>
      <w:r>
        <w:t>GE Cour de justice, 2020-11-26, FR</w:t>
      </w:r>
    </w:p>
    <w:p>
      <w:r>
        <w:rPr>
          <w:b/>
        </w:rPr>
        <w:t xml:space="preserve">Quelle: </w:t>
      </w:r>
      <w:r>
        <w:t>https://mcp.opencaselaw.ch/entscheid/ge_gerichte_ACPR_207_2021</w:t>
      </w:r>
    </w:p>
    <w:p>
      <w:r>
        <w:t>FR: GE_GERICHTE ACPR/207/2021 du 26 novembre 2020</w:t>
      </w:r>
    </w:p>
    <w:p>
      <w:r>
        <w:t>IT: GE_GERICHTE ACPR/207/2021 del 26 novembre 2020</w:t>
      </w:r>
    </w:p>
    <w:p>
      <w:pPr>
        <w:pStyle w:val="Heading2"/>
      </w:pPr>
      <w:r>
        <w:t>Erwägungen</w:t>
      </w:r>
    </w:p>
    <w:p>
      <w:r>
        <w:rPr>
          <w:b/>
        </w:rPr>
        <w:t>E. 1</w:t>
      </w:r>
    </w:p>
    <w:p>
      <w:r>
        <w:t>Le recours est recevable pour avoir été déposé, par le prévenu visé par le mandat querellé (art. 104 al. 1 let. a et 382 al. 1 CPP), selon la forme et dans le délai prescrits (art. 385 al. 1 et 396 al. 1 CPP) – les formalités de notification (art. 85 al. 2 CPP) n'ayant pas été observées –, et concerner une décision sujette à recours (art. 393 al. 1 let. a CPP; arrêt du Tribunal fédéral 1B_242/2018 du 6 septembre 2018 consid. 2.4).</w:t>
      </w:r>
    </w:p>
    <w:p>
      <w:r>
        <w:rPr>
          <w:b/>
        </w:rPr>
        <w:t>E. 2</w:t>
      </w:r>
    </w:p>
    <w:p>
      <w:r>
        <w:t>Le recourant se plaint d'une violation de son droit d'être entendu, affirmant que la décision ne donnait pas de motif précis à le faire expertiser.</w:t>
      </w:r>
    </w:p>
    <w:p>
      <w:r>
        <w:rPr>
          <w:b/>
        </w:rPr>
        <w:t>E. 2.1</w:t>
      </w:r>
    </w:p>
    <w:p>
      <w:r>
        <w:t>Le droit d'être entendu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p. 46 ; 142 I 135 consid. 2.1 p. 145).</w:t>
      </w:r>
    </w:p>
    <w:p>
      <w:r>
        <w:rPr>
          <w:b/>
        </w:rPr>
        <w:t>E. 2.2</w:t>
      </w:r>
    </w:p>
    <w:p>
      <w:r>
        <w:t>En l'espèce, le Ministère public se réfère, en tête de sa décision, à "l'état actuel" des investigations, lequel rendrait indispensable l'établissement d'une expertise psychiatrique du prévenu. S'il est vrai que, ce faisant, le Ministère public ne donne pas de raison précise à son choix, il a fourni des motifs plus circonstanciés avec ses observations sur le recours, auxquelles le recourant a eu la faculté de répliquer. Précédemment, le projet d'expertise remis au recourant, en novembre 2020, comportait exactement la même motivation. À réception, l'intéressé s'était contenté de demander la récusation de la Procureure. Or, non seulement la requête visant la</w:t>
      </w:r>
    </w:p>
    <w:p>
      <w:r>
        <w:t>- 7/12 - P/19127/2019 magistrate ne le dispensait pas de se prononcer, dans le délai imparti, sur le projet de mandat d'expertise – la demande de récusation ne suspendant pas l'instruction de la cause (art. 59 al. 3 CPP) –, mais le recourant n'a nullement fait parvenir au Ministère public, comme il l'avait pourtant annoncé, sa détermination sur le projet de mandat d'expertise après avoir renoncé à sa demande de récusation. Dans ces circonstances, il n'y a pas lieu d'annuler la décision attaquée pour une motivation qui, bien que rudimentaire, a permis au recourant d'en contester les raisons et à l'autorité de recours d'exercer son contrôle juridictionnel, étant relevé que le principe de célérité, compte tenu de la détention provisoire du recourant (art. 5 al. 2 CPP), commande de ne pas retarder la progression de l'instruction.</w:t>
      </w:r>
    </w:p>
    <w:p>
      <w:r>
        <w:rPr>
          <w:b/>
        </w:rPr>
        <w:t>E. 3</w:t>
      </w:r>
    </w:p>
    <w:p>
      <w:r>
        <w:t>Le recourant estime que les conditions ne sont pas remplies pour une expertise psychiatrique.</w:t>
      </w:r>
    </w:p>
    <w:p>
      <w:r>
        <w:rPr>
          <w:b/>
        </w:rPr>
        <w:t>E. 3.1</w:t>
      </w:r>
    </w:p>
    <w:p>
      <w:r>
        <w:t>En vertu de l'art. 139 al. 1 CPP, les autorités pénales mettent en oeuvre tous les moyens de preuves licites qui, selon l'état des connaissances scientifiques et l'expérience, sont propres à établir la vérité.</w:t>
      </w:r>
    </w:p>
    <w:p>
      <w:r>
        <w:rPr>
          <w:b/>
        </w:rPr>
        <w:t>E. 3.2</w:t>
      </w:r>
    </w:p>
    <w:p>
      <w:r>
        <w:t>Le magistrat instructeur doit faire et ordonner tout ce qui lui paraît nécessaire pour établir la vérité dans le cadre fixé par la loi, il est le seul maître de l'instruction et c'est à lui seul qu'il appartient d'organiser et de conduire l'instruction, d'apprécier l'opportunité des actes à exécuter et de décider l'ordre dans lequel ces derniers seront accomplis (L. MOREILLON / A. PAREIN-REYMOND, CPP, Code de procédure pénale, Petit commentaire, 2e éd., Bâle 2016, n. 2 ad art. 62 CPP). Pour le reste, les preuves sont soumises à l'appréciation ainsi qu'à l'intime conviction du juge. L'art. 182 CPP – qui figure au Titre 4 du CPP sur les moyens de preuve – prévoit que le ministère public et les tribunaux ont recours à un ou plusieurs experts lorsqu'ils ne disposent pas des connaissances et des capacités nécessaires pour constater ou juger un état de fait. L'expertise judiciaire se définit comme une mesure d'instruction nécessitant des connaissances spéciales ou des investigations complexes, confiées par le juge à un ou plusieurs spécialistes pour qu'il l'informe sur des questions de fait excédant sa compétence technique ou scientifique (Y. JEANNERET / A. KUHN / C. PERRIER DEPEURSINGE (éds), Commentaire romand : Code de procédure pénale suisse, 2e éd., Bâle 2019, n. 1 ad art. 182 CPP). L'expert apporte donc son aide à l'autorité en constatant et appréciant l'état de fait grâce à ses connaissances particulières, en aidant l'autorité à tirer les conclusions techniques des constatations qu'elle aura elle-même faites et en éclairant l'autorité sur les principes généraux relevant de son domaine de compétence (op. cit., n. 4 ad art. 182). Dans certains cas, la loi prescrit le recours à un expert, par exemple dans l'hypothèse où le juge éprouve un doute sur la responsabilité du prévenu (art. 20 CP) ou en cas de prononcé d'une mesure au sens de l'art. 56 al. 3 CP (op. cit. n. 22 ad art. 182).</w:t>
      </w:r>
    </w:p>
    <w:p>
      <w:r>
        <w:t>- 8/12 - P/19127/2019</w:t>
      </w:r>
    </w:p>
    <w:p>
      <w:r>
        <w:rPr>
          <w:b/>
        </w:rPr>
        <w:t>E. 3.3</w:t>
      </w:r>
    </w:p>
    <w:p>
      <w:r>
        <w:t>À teneur de l'art. 20 CP,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(arrêt du Tribunal fédéral 6B_352/2014 consid. 5.1 non publié in ATF 141 IV 271 ; ATF 133 IV 145 consid. 3.3). La ratio legis veut que le juge, qui ne dispose pas de connaissances spécifiques dans le domaine de la psychiatrie, ne cherche pas à écarter ses doutes lui-même, fût-ce en se référant à la littérature spécialisée, mais que confronté à de telles circonstances, il recourt au spécialiste (arrêt du Tribunal fédéral 6B_987/2017 du 12 février 2018 consid. 1.1). Constituent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l'existence de signes d'une faiblesse d'esprit ou d'un retard mental (ATF 116 IV 273 consid. 4a; arrêt du Tribunal fédéral 6B_341/2010 du 20 juillet 2010 consid. 3.3.1). Il faut, mais il suffit, que le prévenu se situe nettement en dehors des normes et que sa constitution mentale se distingue de façon essentielle, non seulement de celle des personnes normales, mais aussi de celle des délinquants comparables (ATF 133 IV 145 consid. 3.3 p. 147). La simple possibilité, voire même la vraisemblance, que l'infraction perpétrée puisse avoir une origine psychique ne suffit pas à faire naître un doute sérieux (L. MOREILLON / A. MACALUSO / N. QUELOZ / N. DONGOIS (éds), Commentaire romand : Code pénal I, art. 1-110 CP, 2e éd., Bâle 2021, n. 15 ad art. 20 et les références citées). Alors que la (simple) consommation de stupéfiants ou d'autres substances psychotropes doit amener le magistrat à rechercher si les circonstances ne font pas douter de la responsabilité de l'auteur – une réponse négative débouchant sur le refus d'une expertise –, la dépendance (effective) aux produits susmentionnés commande de procéder à l'examen considéré (L. MOREILLON / A. MACALUSO / N. QUELOZ / N. DONGOIS (éds), op. cit., n. 17 ad art. 20 CP).</w:t>
      </w:r>
    </w:p>
    <w:p>
      <w:r>
        <w:rPr>
          <w:b/>
        </w:rPr>
        <w:t>E. 3.4</w:t>
      </w:r>
    </w:p>
    <w:p>
      <w:r>
        <w:t>À teneur de l'art. 56 CP, une mesure thérapeutique doit être ordonnée si trois conditions cumulatives sont réalisées, à savoir qu'une peine seule ne peut écarter le danger que l'auteur commette d'autres infractions (al. 1 let. a), si l'auteur a besoin d'un traitement ou que la sécurité publique l'exige (al. 1 let. b) et si les conditions prévues aux art. 59 à 61, 63 au 64 CP sont remplies (al. 1 let. c). Pour ordonner une mesure thérapeutique institutionnelle, un traitement ambulatoire ou un internement ordinaire, ou encore modifier une sanction, au sens de l'art. 65 CP, le juge est tenu de se fonder sur le rapport d'un expert (art. 56 al. 3, 4 et 4 bis CP).</w:t>
      </w:r>
    </w:p>
    <w:p>
      <w:r>
        <w:t>- 9/12 - P/19127/2019</w:t>
      </w:r>
    </w:p>
    <w:p>
      <w:r>
        <w:rPr>
          <w:b/>
        </w:rPr>
        <w:t>E. 3.5</w:t>
      </w:r>
    </w:p>
    <w:p>
      <w:r>
        <w:t>La notion de "trouble mental" se définit comme l’ensemble de symptômes cliniquement identifiables ou d’anomalies comportementales ayant pour conséquence une atteinte durable aux fonctions vitales, personnelles et sociales d’un individu. La description clinique et les directives diagnostiques constatant un trouble mental sont publiées par l’Organisation mondiale de la santé dans un système de classification international régulièrement actualisé par les connaissances scientifiques psychiatriques. Figurent notamment dans cette liste les troubles mentaux ayant une source organique ou physique, la schizophrénie et les troubles schizoïdes de la personnalité, les troubles affectifs ou de l’humeur, les troubles névrotiques liés à des facteurs de stress, les troubles somatoformes (avec répercussions somatiques), les syndromes comportementaux associés à des perturbations physiologiques et à des facteurs physiques, les troubles de la personnalité et du comportement chez l’adulte, le retard mental, les troubles du développement psychologique ou encore les troubles émotionnels ou du comportement ayant leur origine dans l’enfance ou l’adolescence d’un individu. Certains traits caractéristiques ressortent néanmoins chez la plupart des personnes souffrant de troubles mentaux, à savoir un net manque d’équilibre relatif au comportement et à l’attitude dans de nombreux secteurs fonctionnels tels que l’affectivité, la stimulation, le contrôle de l’impulsion, le discernement et la pensée, ainsi que dans les rapports avec l’entourage. Ces différents troubles ont très souvent leur source dans l’enfance ou l’adolescence et se manifestent ensuite dans la durée pendant l’âge adulte (L. MOREILLON / A. MACALUSO / N. QUELOZ / N. DONGOIS (éds), op. cit., n. 6 ad art. 56 CP).</w:t>
      </w:r>
    </w:p>
    <w:p>
      <w:r>
        <w:rPr>
          <w:b/>
        </w:rPr>
        <w:t>E. 3.6</w:t>
      </w:r>
    </w:p>
    <w:p>
      <w:r>
        <w:t>En l'espèce, faute de production au dossier des copies des jugements rendus en France, on ignore les motivations et raisons des passages à l'acte violents du recourant par le passé, en particulier les violences conjugales "habituelles" suivies d'une incapacité de plus de 8 jours, pour lesquelles il a été condamné, le 2 juillet 2013, à 4 ans d'emprisonnement, peu avant ses 23 ans. S'il n'a, jusqu'ici, jamais été condamné pour des actes d'ordre sexuel, le recourant est, dans la présente procédure, fortement suspecté d'avoir commis un viol et une contrainte sexuelle, le 28 août 2019, apparemment sous l'emprise de cocaïne, sur sa compagne, âgée de 22 ans au moment des faits, laquelle avait donné naissance deux mois plus tôt à leur enfant prématuré. Quatre jours plus tard, il a suivi une jeune fille âgée de 17 ans, depuis le tram dans lequel ils étaient tous deux passagers, jusqu'à l'allée de l'immeuble où elle habitait. Malgré les dénégations du recourant, il existe en l'état des indices suffisants d'une agression à caractère sexuel, compte tenu des traces ADN du recourant sur les lèvres et le cou de la jeune fille, ainsi que des déclarations immédiates de celle-ci au voisin qui l'a secourue. Ces soupçons d'actes de violence dirigés contre l'intégrité sexuelle de jeunes femmes, à quelques jours d'intervalle, s'écartent du parcours délictuel du recourant tel qu'il ressort de l'extrait de son casier judiciaire français. Les actes dont il est ici prévenu</w:t>
      </w:r>
    </w:p>
    <w:p>
      <w:r>
        <w:t>- 10/12 - P/19127/2019 constituent des comportements nettement en dehors des normes et paraissent témoigner d'une constitution mentale très différente de la moyenne, non seulement des justiciables mais aussi du cercle des délinquants dont le recourant se réclame. Les éléments précités font ainsi naître un doute sérieux que les agressions à caractère sexuel reprochées au recourant – dont une partie aurait été commise sous l'influence de cocaïne –, si elles étaient avérées, pourraient avoir été influencées ou provoquées par un trouble mental grave, au sens défini au considérant précédent. Seule une expertise psychiatrique pourra confirmer ou démentir ce doute, et se prononcer sur la responsabilité de l'auteur au moment des faits. Même si l'instruction n'est pas terminée et que le recourant a requis des actes d'enquête propres selon lui à le disculper, l'expertise psychiatrique ne portera pas atteinte à la présomption d'innocence. Les experts rendront leur rapport en tenant compte du fait que le prévenu est en l'état seulement soupçonné des actes qui lui sont reprochés. Dans la mesure où le recourant ne remet en cause que le principe de l'expertise, sans critiquer les questions posées aux experts, celles-ci ne seront pas examinées.</w:t>
      </w:r>
    </w:p>
    <w:p>
      <w:r>
        <w:rPr>
          <w:b/>
        </w:rPr>
        <w:t>E. 4</w:t>
      </w:r>
    </w:p>
    <w:p>
      <w:r>
        <w:t>Justifié, le mandat d'expertise querellé sera donc confirmé.</w:t>
      </w:r>
    </w:p>
    <w:p>
      <w:r>
        <w:rPr>
          <w:b/>
        </w:rPr>
        <w:t>E. 5</w:t>
      </w:r>
    </w:p>
    <w:p>
      <w:r>
        <w:t>Le recourant, qui succombe, supportera les frais envers l'État, fixés en totalité à CHF 950.-, y compris un émolument pour l'ordonnance d'effet suspensif et le présent arrêt (art. 428 al. 1 CPP et 13 al. 1 du Règlement fixant le tarif des frais en matière pénale, RTFMP ; E 4 10.03).</w:t>
      </w:r>
    </w:p>
    <w:p>
      <w:r>
        <w:rPr>
          <w:b/>
        </w:rPr>
        <w:t>E. 6</w:t>
      </w:r>
    </w:p>
    <w:p>
      <w:r>
        <w:t>Dans la mesure où toutes les parties qui se sont exprimées sur le recours sont au bénéfice soit de la défense d'office soit de l'assistance judiciaire gratuite, aucune indemnité ne sera, à ce stade, octroyée aux avocats d'office (art. 135 al. 2 et 138 al. 1 CPP). * * * * *</w:t>
      </w:r>
    </w:p>
    <w:p>
      <w:r>
        <w:t>- 11/12 - P/19127/2019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