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ACPR/206/2026 vom 20. Februar 2026</w:t>
      </w:r>
    </w:p>
    <w:p>
      <w:r>
        <w:t>GE Cour de justice, 2026-02-20, FR</w:t>
      </w:r>
    </w:p>
    <w:p>
      <w:r>
        <w:rPr>
          <w:b/>
        </w:rPr>
        <w:t xml:space="preserve">Quelle: </w:t>
      </w:r>
      <w:r>
        <w:t>https://mcp.opencaselaw.ch/entscheid/ge_gerichte_ACPR_206_2026</w:t>
      </w:r>
    </w:p>
    <w:p>
      <w:r>
        <w:t>FR: GE_GERICHTE ACPR/206/2026 du 20 février 2026</w:t>
      </w:r>
    </w:p>
    <w:p>
      <w:r>
        <w:t>IT: GE_GERICHTE ACPR/206/2026 del 20 febbraio 2026</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3 LaCP).</w:t>
      </w:r>
    </w:p>
    <w:p>
      <w:r>
        <w:rPr>
          <w:b/>
        </w:rPr>
        <w:t>E. 1.3</w:t>
      </w:r>
    </w:p>
    <w:p>
      <w:r>
        <w:t>En l'espèce, bien que limite sous l'angle de la motivation suffisante, le recours, en tant qu'il émane d'un justiciable en personne, sera déclaré recevable, pour avoir été déposé selon les forme et délai prescrits (art. 385 al. 1, 390 al. 1 et 396 al. 1 CPP) par le condamné, qui a un intérêt juridiquement protégé à l'annulation ou à la modification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au refus de sa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rPr>
          <w:b/>
        </w:rPr>
        <w:t>E. 3.2</w:t>
      </w:r>
    </w:p>
    <w:p>
      <w:r>
        <w:t>La libération conditionnelle constitue la dernière étape de l'exécution de la sanction pénale. Elle est la règle et son refus l'exception, dans la mesure où il n'est plus</w:t>
      </w:r>
    </w:p>
    <w:p>
      <w:r>
        <w:t>- 6/9 - PM/95/2026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 du Tribunal fédéral 7B_678/2023 du 27 octobre 2023 précité consid. 2.2.2).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124 IV 97 consid. 2c ; arrêts du Tribunal fédéral 7B_678/2023 du 27 octobre 2023 précité consid. 2.2.2 ; 7B_388/2023 du 29 septembre 2023 précité consid. 2.2).</w:t>
      </w:r>
    </w:p>
    <w:p>
      <w:r>
        <w:rPr>
          <w:b/>
        </w:rPr>
        <w:t>E. 3.3</w:t>
      </w:r>
    </w:p>
    <w:p>
      <w:r>
        <w:t>En l'espèce, la condition d'une libération conditionnelle est réalisée depuis le 15 février 2026. Bien que le comportement du recourant en détention ne s'oppose pas à sa libération conditionnelle, cet élément ne saurait toutefois conduire, à lui seul, à l'octroi d'une libération conditionnelle. Tous les préavis, que cela soit celui de l'établissement de la prison de Champ-Dollon, du SRSP ou encore du Ministère public, sont défavorables. S'agissant du pronostic, force est de constater qu'il se présente sous un jour fort défavorable. En effet, le recourant a été condamné à neuf reprises entre 2015 et 2025 – dont sept fois entre mai et décembre 2025 – principalement pour des infractions contre le patrimoine et à la législation sur les étrangers. Aucune de ces condamnations, dont certaines ont été prononcées avec sursis, ne l'a dissuadé de réitérer ses agissements répréhensibles. À cela s'ajoute que le recourant – dépourvu de documents d'identité et de titre de séjour en Suisse – ne paraît pas avoir mené de véritable réflexion sur son parcours de vie, notamment délictuel et carcéral, afin de se prémunir contre le risque de récidiver</w:t>
      </w:r>
    </w:p>
    <w:p>
      <w:r>
        <w:t>- 7/9 - PM/95/2026 pénalement. Bien qu'il fasse part de son intention de se rendre en France afin d'y travailler et de se marier avec sa copine, son projet apparaît peu étayé et rien n'indique qu'il puisse être mis en œuvre. Il sera à cet égard relevé que, de ses propres aveux, le recourant ne possède aucune autorisation de séjour dans ce pays et n'a par ailleurs plus de contact avec sa copine depuis son incarcération. Il est ainsi à craindre, en cas de sortie de prison, que le recourant, faute de projet de vie concret et réalisable, et qui ne peut par ailleurs s'appuyer sur un réseau social structurant susceptible de favoriser sa réinsertion, persiste à commettre de nouvelles infractions. Les conditions d'une mise en liberté conditionnelle ne sont ainsi, en l'état, pas réalisées.</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- 8/9 - PM/95/2026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