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ACPR/205/2025 vom 24. Februar 2025</w:t>
      </w:r>
    </w:p>
    <w:p>
      <w:r>
        <w:t>GE Cour de justice, 2025-02-24, FR</w:t>
      </w:r>
    </w:p>
    <w:p>
      <w:r>
        <w:rPr>
          <w:b/>
        </w:rPr>
        <w:t xml:space="preserve">Quelle: </w:t>
      </w:r>
      <w:r>
        <w:t>https://mcp.opencaselaw.ch/entscheid/ge_gerichte_ACPR_205_2025</w:t>
      </w:r>
    </w:p>
    <w:p>
      <w:r>
        <w:t>FR: GE_GERICHTE ACPR/205/2025 du 24 février 2025</w:t>
      </w:r>
    </w:p>
    <w:p>
      <w:r>
        <w:t>IT: GE_GERICHTE ACPR/205/2025 del 24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w:t>
      </w:r>
    </w:p>
    <w:p>
      <w:r>
        <w:t>- 5/9 - P/27112/2024 juridiquement protégé à la modification ou à l'annulation de la décision querellée (art. 382 al. 1 CPP).</w:t>
      </w:r>
    </w:p>
    <w:p>
      <w:r>
        <w:rPr>
          <w:b/>
        </w:rPr>
        <w:t>E. 2</w:t>
      </w:r>
    </w:p>
    <w:p>
      <w:r>
        <w:t>Le recourant estime que les charges, à ce stade de la procédure, ne seraient pas suffisantes à justifier son placement en détention pour des motifs de sûreté.</w:t>
      </w:r>
    </w:p>
    <w:p>
      <w:r>
        <w:rPr>
          <w:b/>
        </w:rPr>
        <w:t>E. 2.1</w:t>
      </w:r>
    </w:p>
    <w:p>
      <w:r>
        <w:t>Pour qu'une personne soit placée en détention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admet les charges de violation de domicile (art. 186 CP) et de dommage à la propriété (art. 144 al. 1 CPP). Ces infractions étant deux délits, au sens de l'art. 10 al. 3 CP, la première condition de l'art. 221 al. 1 CPP est, pour cette raison déjà, remplie. Les soupçons de tentative de vol, subsidiairement vol, retenus au moment de l'arrestation du recourant se sont confirmés avec l'instruction, puisque l'activation d'une antenne à G______, par le téléphone portable du précité le matin du lundi 25 novembre 2024, contredit ses déclarations à teneur desquelles il aurait dormi dans la villa de D______ depuis la veille, sans en sortir. Qui plus est, le recourant est désormais renvoyé en jugement pour ces trois chefs d'infraction. Cela suffit pour retenir qu'à l'issue de l'instruction, les charges de violation de domicile, dommage à la propriété et tentative de vol se sont renforcées. Que la plaignante n'ait pas (encore) fourni la liste des objets dont elle allègue la disparition, ni chiffré son préjudice, ne joue aucun rôle, la détention pour des motifs de sûreté pouvant être ordonnée, comme exposé ci-dessus, pour tentative de vol, violation de domicile et dommage à la propriété. Peu importe également que le parfum retrouvé sur le recourant au moment de son arrestation ait été le sien ou non, le Ministère public ayant, dans l'acte d'accusation, retenu à cet égard une infraction d'importance mineure (art. 172ter CP) ne pouvant en tout état pas fonder une détention.</w:t>
      </w:r>
    </w:p>
    <w:p>
      <w:r>
        <w:t>- 6/9 - P/27112/2024 Le recourant allègue que le TMC semblait confondre son identité et celle de son co- prévenu, sans donner plus de précision de sorte que cet éventuel grief ne peut être traité.</w:t>
      </w:r>
    </w:p>
    <w:p>
      <w:r>
        <w:rPr>
          <w:b/>
        </w:rPr>
        <w:t>E. 3</w:t>
      </w:r>
    </w:p>
    <w:p>
      <w:r>
        <w:t>Le recourant ne conteste pas les risques de collusion et fuite retenus par l'ordonnance querellée, ni ne propose des mesures de substitution, de sorte qu'il n'y a pas lieu d'y revenir.</w:t>
      </w:r>
    </w:p>
    <w:p>
      <w:r>
        <w:rPr>
          <w:b/>
        </w:rPr>
        <w:t>E. 4</w:t>
      </w:r>
    </w:p>
    <w:p>
      <w:r>
        <w:t>Le recourant invoque une violation du principe de la proportionnalité.</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4.2</w:t>
      </w:r>
    </w:p>
    <w:p>
      <w:r>
        <w:t>En l'espèce, il n'y a pas lieu de tenir compte, conformément à la jurisprudence sus-rappelée, du sursis requis par le Ministère public. Par ailleurs, au vu des infractions retenues par l’acte d'accusation, la peine que le Tribunal de police pourrait prononcer, si les faits reprochés au recourant étaient confirmés, reste encore proportionnée à la durée de la détention pour des motifs de sûreté échéant le 25 mars 2025. Que la date de l'audience de jugement ait été fixée au 2 avril 2025 n'est pas pertinent à ce stade, l'examen de la Chambre de céans étant circonscrit à la légalité de la détention pour des motifs de sûreté ordonnée, laquelle, comme il a été vu, respecte le principe de la proportionnalité.</w:t>
      </w:r>
    </w:p>
    <w:p>
      <w:r>
        <w:rPr>
          <w:b/>
        </w:rPr>
        <w:t>E. 5</w:t>
      </w:r>
    </w:p>
    <w:p>
      <w:r>
        <w:t>Le recours s'avère ainsi infondé et doit être rejeté.</w:t>
      </w:r>
    </w:p>
    <w:p>
      <w:r>
        <w:rPr>
          <w:b/>
        </w:rPr>
        <w:t>E. 6</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w:t>
      </w:r>
    </w:p>
    <w:p>
      <w:r>
        <w:t>- 7/9 - P/27112/2024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7.2</w:t>
      </w:r>
    </w:p>
    <w:p>
      <w:r>
        <w:t>En l'occurrence, quand bien même le recours était voué à l'échec, on peut admettre que l'exercice de ce premier recours ne procède pas d'un abus. * * * * *</w:t>
      </w:r>
    </w:p>
    <w:p>
      <w:r>
        <w:t>- 8/9 - P/27112/2024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