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ACPR/204/2024 vom 11. Dezember 2023</w:t>
      </w:r>
    </w:p>
    <w:p>
      <w:r>
        <w:t>GE Cour de justice, 2023-12-11, FR</w:t>
      </w:r>
    </w:p>
    <w:p>
      <w:r>
        <w:rPr>
          <w:b/>
        </w:rPr>
        <w:t xml:space="preserve">Quelle: </w:t>
      </w:r>
      <w:r>
        <w:t>https://mcp.opencaselaw.ch/entscheid/ge_gerichte_ACPR_204_2024</w:t>
      </w:r>
    </w:p>
    <w:p>
      <w:r>
        <w:t>FR: GE_GERICHTE ACPR/204/2024 du 11 décembre 2023</w:t>
      </w:r>
    </w:p>
    <w:p>
      <w:r>
        <w:t>IT: GE_GERICHTE ACPR/204/2024 del 11 dicembre 2023</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w:t>
      </w:r>
    </w:p>
    <w:p>
      <w:r>
        <w:t>- 5/10 - PS/134/2023 forme et le délai prescrits (art. 385 al. 1 et 396 al. 1 CPP) et émaner du condamné visé par la décision querellée, qui a a priori un intérêt juridiquement protégé à son annulation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66abis CP (expulsion non obligatoire) prévoit que le juge peut expulser un étranger du territoire suisse pour une durée de trois à quinze ans si, pour un crime ou un délit non visé à l’art. 66a, celui-ci a été condamné à une peine ou a fait l’objet d’une mesure au sens des art. 59 à 61 ou 64. 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3.2</w:t>
      </w:r>
    </w:p>
    <w:p>
      <w:r>
        <w:t>Selon l'art. 66d al. 1 CP (applicable par analogie à l'expulsion non obligatoire cf. ACPR/201/2021 et les références citées),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w:t>
      </w:r>
    </w:p>
    <w:p>
      <w:r>
        <w:t>- 6/10 - PS/134/2023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3.3</w:t>
      </w:r>
    </w:p>
    <w:p>
      <w:r>
        <w:t>Lors de l'examen de l'exécution de l'expulsion obligatoire, l'autorité cantonale compétente doit tenir compte d'office des obstacles qui sont portés à sa connaissance par l'étranger condamné ou dont elle apprend l'existence par d'autres sources</w:t>
      </w:r>
    </w:p>
    <w:p>
      <w:r>
        <w:t>- 7/10 - PS/134/2023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3.4</w:t>
      </w:r>
    </w:p>
    <w:p>
      <w:r>
        <w:t>Selon l'art. 83 al. 1 LEI, le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8 ss).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 ss).</w:t>
      </w:r>
    </w:p>
    <w:p>
      <w:r>
        <w:rPr>
          <w:b/>
        </w:rPr>
        <w:t>E. 3.5</w:t>
      </w:r>
    </w:p>
    <w:p>
      <w:r>
        <w:t>En l'espèce, le recourant s'oppose à l'exécution de son expulsion de Suisse. Il se prétend apatride, ce qui constituerait un obstacle à son renvoi et devrait conduire à son admission provisoire en Suisse. Or, il ressort de la procédure que si, dans un premier temps, son identification et sa reconnaissance par l'État étranger dont il se dit originaire (la Sierra Leone) ou un autre État n'a pas abouti, il a finalement été reconnu comme un ressortissant nigérian lors de son audition par le SEM le 18 octobre 2023. Partant, il n'y a plus aucun obstacle à son renvoi vers ce pays. Le recourant, qui est célibataire et n'a aucune attache avec la Suisse, ne rend au surplus pas vraisemblable une modification des circonstances depuis le prononcé de son expulsion en 2019 ni n'allègue un cas de rigueur qui justifierait qu'il puisse continuer à demeurer dans notre pays. L'expulsion du recourant n'étant pas impossible, au sens de l'art. 83 al. 1 LEI, la mesure n’avait pas à être différée. L’OCPM a ainsi statué à bon droit.</w:t>
      </w:r>
    </w:p>
    <w:p>
      <w:r>
        <w:rPr>
          <w:b/>
        </w:rPr>
        <w:t>E. 4</w:t>
      </w:r>
    </w:p>
    <w:p>
      <w:r>
        <w:t>Justifiée, la décision querellée sera donc confirmée.</w:t>
      </w:r>
    </w:p>
    <w:p>
      <w:r>
        <w:t>- 8/10 - PS/134/2023</w:t>
      </w:r>
    </w:p>
    <w:p>
      <w:r>
        <w:rPr>
          <w:b/>
        </w:rPr>
        <w:t>E. 5</w:t>
      </w:r>
    </w:p>
    <w:p>
      <w:r>
        <w:t>Le recourant succombe dans ses conclusions. Il supportera les frais de la procédure de recours (art. 428 al. 1 CPP), qui seront fixés en totalité à CHF 900.- (art. 13 al. 1 du Règlement fixant le tarif des frais en matière pénale, RTFMP; E 4 10.0) * * * * *</w:t>
      </w:r>
    </w:p>
    <w:p>
      <w:r>
        <w:t>- 9/10 - PS/134/2023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