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ACPR/204/2021 vom 8. Juli 2020</w:t>
      </w:r>
    </w:p>
    <w:p>
      <w:r>
        <w:t>GE Cour de justice, 2020-07-08, FR</w:t>
      </w:r>
    </w:p>
    <w:p>
      <w:r>
        <w:rPr>
          <w:b/>
        </w:rPr>
        <w:t xml:space="preserve">Quelle: </w:t>
      </w:r>
      <w:r>
        <w:t>https://mcp.opencaselaw.ch/entscheid/ge_gerichte_ACPR_204_2021</w:t>
      </w:r>
    </w:p>
    <w:p>
      <w:r>
        <w:t>FR: GE_GERICHTE ACPR/204/2021 du 8 juillet 2020</w:t>
      </w:r>
    </w:p>
    <w:p>
      <w:r>
        <w:t>IT: GE_GERICHTE ACPR/204/2021 del 8 luglio 2020</w:t>
      </w:r>
    </w:p>
    <w:p>
      <w:pPr>
        <w:pStyle w:val="Heading2"/>
      </w:pPr>
      <w:r>
        <w:t>Erwägungen</w:t>
      </w:r>
    </w:p>
    <w:p>
      <w:r>
        <w:rPr>
          <w:b/>
        </w:rPr>
        <w:t>E. 3</w:t>
      </w:r>
    </w:p>
    <w:p>
      <w:r>
        <w:t>Justifiée, la décision querellée sera donc confirmée.</w:t>
      </w:r>
    </w:p>
    <w:p>
      <w:r>
        <w:rPr>
          <w:b/>
        </w:rPr>
        <w:t>E. 4</w:t>
      </w:r>
    </w:p>
    <w:p>
      <w:r>
        <w:t>Le recourant conclut à l'assistance juridique.</w:t>
      </w:r>
    </w:p>
    <w:p>
      <w:r>
        <w:rPr>
          <w:b/>
        </w:rPr>
        <w:t>E. 4.1</w:t>
      </w:r>
    </w:p>
    <w:p>
      <w:r>
        <w:t>Le droit à l'assistance d'un défenseur d'office est soumis aux conditions cumulatives que le requérant soit indigent, que sa cause ne paraisse pas dépourvue de toute chance de succès et que la sauvegarde de ses intérêts justifie une telle assistance (cf. art. 132 al. 1 let. b et 136 al. 1 et al. 2 let. c CPP; cf. également art. 29 al. 3 Cst.).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(arrêt du Tribunal fédéral 1B_180/2018 du 18 juillet 2018 consid. 2.1 et les arrêts cités).</w:t>
      </w:r>
    </w:p>
    <w:p>
      <w:r>
        <w:rPr>
          <w:b/>
        </w:rPr>
        <w:t>E. 4.2</w:t>
      </w:r>
    </w:p>
    <w:p>
      <w:r>
        <w:t>En l'espèce, la condition de l'indigence est acquise.</w:t>
      </w:r>
    </w:p>
    <w:p>
      <w:r>
        <w:t>Nonobstant l'issue de la cause, la présente affaire présentait à l'origine un problème de compétence de l'autorité de recours et, par-là, des difficultés juridiques propres à justifier l'intervention d'un avocat.</w:t>
      </w:r>
    </w:p>
    <w:p>
      <w:r>
        <w:t>La requête tendant à la désignation d'un avocat d'office sera, partant, admise.</w:t>
      </w:r>
    </w:p>
    <w:p>
      <w:r>
        <w:t>4.3.1. La procédure étant ici close (art. 135 al. 2 CPP), des dépens seront alloués à l'avocat d'office.</w:t>
      </w:r>
    </w:p>
    <w:p>
      <w:r>
        <w:t>L'art. 135 al. 1 CPP prévoit que le défenseur d'office est indemnisé conformément au tarif des avocats de la Confédération et du canton for du procès. À Genève, le tarif des avocats est édicté à l'art. 16 RAJ et s'élève à CHF 200.- de l'heure pour un chef d'étude (al. 1 let. c).</w:t>
      </w:r>
    </w:p>
    <w:p>
      <w:r>
        <w:t>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 arrêt du Tribunal fédéral 6B_856/2014 du 10 juillet 2015 consid. 2.3).</w:t>
      </w:r>
    </w:p>
    <w:p>
      <w:r>
        <w:t>4.3.2. En l'espèce, le conseil du recourant n'a pas chiffré son indemnité. Eu égard à l'activité déployée (un recours de quelques pages topiques et un chargé de pièces), l'indemnité due sera fixée ex aequo et bono à CHF 600.- TTC.</w:t>
      </w:r>
    </w:p>
    <w:p>
      <w:r>
        <w:t>- 8/10 - PS/50/2020</w:t>
      </w:r>
    </w:p>
    <w:p>
      <w:r>
        <w:rPr>
          <w:b/>
        </w:rPr>
        <w:t>E. 5</w:t>
      </w:r>
    </w:p>
    <w:p>
      <w:r>
        <w:t>Le recourant, qui succombe,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800.- (art. 13 al. 1 du Règlement fixant le tarif des frais en matière pénale, RTFMP; E 4 10.03). * * * * *</w:t>
      </w:r>
    </w:p>
    <w:p>
      <w:r>
        <w:t>- 9/10 - PS/50/2020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