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ACPR/202/2022 vom 1. April 2021</w:t>
      </w:r>
    </w:p>
    <w:p>
      <w:r>
        <w:t>GE Cour de justice, 2021-04-01, FR</w:t>
      </w:r>
    </w:p>
    <w:p>
      <w:r>
        <w:rPr>
          <w:b/>
        </w:rPr>
        <w:t xml:space="preserve">Quelle: </w:t>
      </w:r>
      <w:r>
        <w:t>https://mcp.opencaselaw.ch/entscheid/ge_gerichte_ACPR_202_2022</w:t>
      </w:r>
    </w:p>
    <w:p>
      <w:r>
        <w:t>FR: GE_GERICHTE ACPR/202/2022 du 1 avril 2021</w:t>
      </w:r>
    </w:p>
    <w:p>
      <w:r>
        <w:t>IT: GE_GERICHTE ACPR/202/2022 del 1 aprile 2021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des plaignants, partie à la procédure (art. 104 al. 1 let. b CPP).</w:t>
      </w:r>
    </w:p>
    <w:p>
      <w:r>
        <w:rPr>
          <w:b/>
        </w:rPr>
        <w:t>E. 2.1</w:t>
      </w:r>
    </w:p>
    <w:p>
      <w:r>
        <w:t>Seule une partie qui a un intérêt juridiquement protégé à la modification ou à l'annulation de la décision querellée a qualité pour recourir contre celle-ci (art. 382 al. 1 CPP).</w:t>
      </w:r>
    </w:p>
    <w:p>
      <w:r>
        <w:rPr>
          <w:b/>
        </w:rPr>
        <w:t>E. 2.2</w:t>
      </w:r>
    </w:p>
    <w:p>
      <w:r>
        <w:t>La notion de lésé est définie à l'art. 115 CPP.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2.3</w:t>
      </w:r>
    </w:p>
    <w:p>
      <w:r>
        <w:t>En l'espèce, les recourants admettent que la gestion déloyale dénoncée n'a pas porté atteinte à leur patrimoine, le mandat de gestion n'ayant en outre plus cours au moment des faits. Il s'ensuit qu'ils ne disposent pas de la qualité de partie plaignante, ce qu'ils ne semblent pas remettre en question. Faute de revêtir la qualité de lésés d'une éventuelle gestion déloyale, les recourants ne disposent pas d'un intérêt juridiquement protégé à recourir, et leur qualité de dénonciateur ne les y habilite pas non plus (art. 301 al. 3 CPP). Si la Chambre de céans dispose certes d'un large pouvoir d'examen en fait et en droit (art. 391 al. 1 CPP), encore faut-il que le recours qui lui est porté soit recevable, ce qui n'est pas le cas sur ce point. Partant, le recours est irrecevable en tant qu'il porte sur le volet financier et recevable au surplus.</w:t>
      </w:r>
    </w:p>
    <w:p>
      <w:r>
        <w:rPr>
          <w:b/>
        </w:rPr>
        <w:t>E. 3</w:t>
      </w:r>
    </w:p>
    <w:p>
      <w:r>
        <w:t>Les recourants invoquent une violation de leur droit d'être entendus, faute de motivation du rejet de leurs réquisitions de preuve.</w:t>
      </w:r>
    </w:p>
    <w:p>
      <w:r>
        <w:t>- 13/24 - P/414/2020</w:t>
      </w:r>
    </w:p>
    <w:p>
      <w:r>
        <w:rPr>
          <w:b/>
        </w:rPr>
        <w:t>E. 3.1</w:t>
      </w:r>
    </w:p>
    <w:p>
      <w:r>
        <w:t>La jurisprudence a déduit du droit d'être entendu (art. 29 al. 2 Cst.) le devoir pour l'autorité de motiver sa décision, afin que le justiciable puisse la comprendre, la contester utilement s'il y a lieu et exercer son droit de recours à bon escient. Une autorité se rend coupable d'un déni de justice formel prohibé par cette disposition si elle omet de se prononcer sur des griefs qui présentent une certaine pertinence ou de prendre en considération des allégués et arguments importants pour la décision à prendre (ATF 138 V 125 consid. 2.1; 133 III 235 consid. 5.2; 126 I 97 consid. 2b; arrêt du Tribunal fédéral 1B_524/2012 du 15 novembre 2012 consid. 2.1).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3.2</w:t>
      </w:r>
    </w:p>
    <w:p>
      <w:r>
        <w:t>En l'espèce, si l'ordonnance querellée ne contient aucune motivation s'agissant du rejet des réquisitions de preuve, le Procureur a, dans ses observations sur le recours, exposé les raisons pour lesquelles il avait écarté celles-ci. Il s'ensuit que, faute de gravité, la violation du droit d'être entendu des recourants a été réparée devant l'autorité de recours.</w:t>
      </w:r>
    </w:p>
    <w:p>
      <w:r>
        <w:rPr>
          <w:b/>
        </w:rPr>
        <w:t>E. 4</w:t>
      </w:r>
    </w:p>
    <w:p>
      <w:r>
        <w:t>Dans le recours, B______ ne qualifie plus de menaces (art. 180 CP) les faits dénoncés dans sa plainte du 17 février 2020. Par ailleurs, ni lui ni C______ ne remettent en cause l'ordonnance querellée en tant qu'elle a écarté la commission d'une calomnie (art. 174 CP). Partant, l'ordonnance querellée est définitive sur ces points.</w:t>
      </w:r>
    </w:p>
    <w:p>
      <w:r>
        <w:rPr>
          <w:b/>
        </w:rPr>
        <w:t>E. 5</w:t>
      </w:r>
    </w:p>
    <w:p>
      <w:r>
        <w:t>Il sied encore de préciser ce qui suit. Par suite des plaintes déposées par les recourants les 10 janvier et 3 février 2020, le Ministère public a ouvert, le 7 février 2020, une instruction pour gestion déloyale et violation de la LCD. Entendu le 28 février suivant, le prévenu l'a été uniquement sur les faits faisant l'objet de l'ordonnance d'ouverture d'instruction précitée. Partant, l'ordonnance de classement querellée (art. 319 CPP) ne concerne que ces faits-là. Les plaintes ultérieures, soit celles des 17 février, 13 août et 21 octobre 2020 ainsi que du 4 février 2021 n'ont pas fait l'objet d'une ouverture ou d'une extension de l'instruction, au sens de l'art. 309 al. 1 CPP. Il s'ensuit que l'ordonnance querellée vaut, à leur égard, décision de non-entrée en matière (art. 310 CPP).</w:t>
      </w:r>
    </w:p>
    <w:p>
      <w:r>
        <w:t>- 14/24 - P/414/2020</w:t>
      </w:r>
    </w:p>
    <w:p>
      <w:r>
        <w:rPr>
          <w:b/>
        </w:rPr>
        <w:t>E. 6</w:t>
      </w:r>
    </w:p>
    <w:p>
      <w:r>
        <w:t>La société recourante reproche au Ministère public d'avoir classé les faits qu'elle qualifie de "campagne de dénigrement".</w:t>
      </w:r>
    </w:p>
    <w:p>
      <w:r>
        <w:rPr>
          <w:b/>
        </w:rPr>
        <w:t>E. 6.1</w:t>
      </w:r>
    </w:p>
    <w:p>
      <w:r>
        <w:t>Conformément à l'art. 319 al. 1 CPP, le ministère public ordonne le classement de la procédure, lorsque : aucun soupçon justifiant une mise en accusation n'est établi (let. a); les éléments constitutifs d’une infraction ne sont pas réunis (let. b); des empêchements de procéder sont apparus (let. d), telle que la prescription de l'action pénale (L. MOREILLON/ A. PAREIN-REYMOND, Code de procédure pénale - Petit commentaire, 2e éd., Bâle 2016, n. 17 ad art. 319). La décision de classer la procédure doit être prise en application du principe "in dubio pro duriore". Celui-ci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6.2</w:t>
      </w:r>
    </w:p>
    <w:p>
      <w:r>
        <w:t>Est punissable, sur plainte, quiconque, intentionnellement, se rend coupable de concurrence déloyale au sens des art. 3, 4, 5 ou 6 LCD (art. 23 al. 1 LCD). Peut porter plainte celui qui a qualité pour intenter une action civile selon les art. 9 et 10 LCD (al. 2).</w:t>
      </w:r>
    </w:p>
    <w:p>
      <w:r>
        <w:rPr>
          <w:b/>
        </w:rPr>
        <w:t>E. 6.2.1</w:t>
      </w:r>
    </w:p>
    <w:p>
      <w:r>
        <w:t>Agit de façon déloyale notamment celui qui dénigre autrui, ses marchandises, ses oeuvres, ses prestations, ses prix ou ses affaires par des allégations inexactes, fallacieuses ou inutilement blessantes (art. 3 let. a LCD). Est un dénigrement, au sens de cette disposition, le fait de noircir ou faire mépriser quelqu'un ou quelque chose, en en niant les qualités (ATF 122 IV 33 consid. 2c p. 36).</w:t>
      </w:r>
    </w:p>
    <w:p>
      <w:r>
        <w:rPr>
          <w:b/>
        </w:rPr>
        <w:t>E. 6.2.2</w:t>
      </w:r>
    </w:p>
    <w:p>
      <w:r>
        <w:t>Le dénigrement se définit comme un acte visant à atteindre un client actuel ou potentiel de celui qu'il prend pour objet, pour influencer le marché. Le terme "client" doit être compris de manière large : il s'agit non seulement de celui qui recourt aux prestations proposées par la victime, mais également de toute personnes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Commentaire romand, Loi contre la</w:t>
      </w:r>
    </w:p>
    <w:p>
      <w:r>
        <w:t>- 15/24 - P/414/2020 concurrence déloyale, Bâle 2017, n. 1, 12 et 29 ad art. 3 al. 1 let. a LCD et les références citées).</w:t>
      </w:r>
    </w:p>
    <w:p>
      <w:r>
        <w:rPr>
          <w:b/>
        </w:rPr>
        <w:t>E. 6.2.3</w:t>
      </w:r>
    </w:p>
    <w:p>
      <w:r>
        <w:t>L'auteur du comportement déloyal n'est pas nécessairement un concurrent, ni un client de la victime du dénigrement, mais n'importe qui. C'est l'effet potentiel du dénigrement, l'introduction d'un dysfonctionnement – réel ou potentiel – dans la concurrence, qui intéresse la loi, quel que soit l'auteur (V. MARTENET / P. PICHONNAZ, op. cit., n. 10 ad art. 3 al. 1 let. a LCD).</w:t>
      </w:r>
    </w:p>
    <w:p>
      <w:r>
        <w:rPr>
          <w:b/>
        </w:rPr>
        <w:t>E. 6.2.4</w:t>
      </w:r>
    </w:p>
    <w:p>
      <w:r>
        <w:t>Le dénigrement n'est pas illicite en soi. Au contraire, il n'est d'abord que l'expression d'une opinion, dont la liberté fait l'objet de la garantie constitutionnelle (art. 16 Cst). C'est dans ce contexte constitutionnel qu'il y a lieu de faire la part entre le dénigrement licite et le dénigrement illicite. En cas de doute, la licéité l'emporte. C'est par exception que le dénigrement est tenu pour déloyal, et par conséquent illicite au sens de l'art. 2 LCD, lorsqu'il procède d'allégations inexactes, fallacieuses ou inutilement blessantes (V. MARTENET / P. PICHONNAZ (éds), op. cit, n. 20 et 26 ad art. 3 al. 1 let. a LCD).</w:t>
      </w:r>
    </w:p>
    <w:p>
      <w:r>
        <w:rPr>
          <w:b/>
        </w:rPr>
        <w:t>E. 6.3</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Dans les cas où le respect du délai de plainte par le plaignant est litigieux, il lui appartient d'en apporter la preuve (ATF 97 I 769 ; A. BICHOVSKY, Commentaire romand, Code pénal I, n. 22 ad art. 31).</w:t>
      </w:r>
    </w:p>
    <w:p>
      <w:r>
        <w:t>- 16/24 - P/414/2020</w:t>
      </w:r>
    </w:p>
    <w:p>
      <w:r>
        <w:rPr>
          <w:b/>
        </w:rPr>
        <w:t>E. 6.4</w:t>
      </w:r>
    </w:p>
    <w:p>
      <w:r>
        <w:t>En l'espèce, le prévenu se trouvait aux États-Unis, lorsqu'il a tenu ou écrit la plupart des propos que la recourante qualifie de dénigrement. Toutefois, à l'aune des principes sus-rappelés, dès lors que la recourante a son siège à Genève, le résultat dénoncé pourrait avoir été commis en Suisse. La question peut néanmoins demeurer ouverte, compte tenu de ce qui suit.</w:t>
      </w:r>
    </w:p>
    <w:p>
      <w:r>
        <w:t>La recourante reproche au Ministère public de ne pas avoir retenu que le prévenu l'aurait dénigrée auprès de "ses anciens clients", et estime que les allégations formulées par le mis en cause dans son affidavit pourraient expliquer la résiliation subite de certains contrats.</w:t>
      </w:r>
    </w:p>
    <w:p>
      <w:r>
        <w:t>Tout d'abord, l'affidavit rédigé par le précité – produit dans la procédure P/1______/2020 –, qui expose ses opinions, a été porté à la connaissance du Ministère public et des parties à la procédure, mais nullement de la clientèle, de sorte que ce document ne saurait constituer un dénigrement au sens de la LCD. En se bornant à soutenir que l'affidavit serait l'illustration des allégations que l'intimé aurait tenues aux quatre anciennes clientes, pour la dénigrer et les amener à résilier subitement leurs mandats de gestion, la recourante ne fait qu'élever des suppositions que rien ne vient confirmer.</w:t>
      </w:r>
    </w:p>
    <w:p>
      <w:r>
        <w:t>Ensuite, l'allégation selon laquelle le prévenu aurait tenu des propos dénigrants à "un autre client", sans autre précision, est trop imprécise pour fonder une prévention pénale.</w:t>
      </w:r>
    </w:p>
    <w:p>
      <w:r>
        <w:t>Q______, qui est fiduciaire de la société, n'est pas un "client" au sens de la LCD. Quant à l'apporteur d'affaire N______, non seulement a-t-il recueilli les déclarations d'un client dont l'identité n'est pas révélée, mais ses dires ont été communiqués par l'employé L______ à la recourante, laquelle n'a pas jugé bon de vérifier l'information à la source et se borne à rapporter des ouï-dire. De plus, la plainte déposée le</w:t>
      </w:r>
    </w:p>
    <w:p>
      <w:r>
        <w:rPr>
          <w:b/>
        </w:rPr>
        <w:t>E. 10</w:t>
      </w:r>
    </w:p>
    <w:p>
      <w:r>
        <w:t>Les recourants, qui succombent très largement, supporteront, conjointement et solidairement, les neufs dixièmes des frais envers l'État, fixés en totalité à CHF 2'000.-, soit CHF 1'800.- (art. 428 al. 1 CPP et 13 al. 1 du Règlement fixant le tarif des frais en matière pénale, RTFMP ; E 4 10.03).</w:t>
      </w:r>
    </w:p>
    <w:p>
      <w:r>
        <w:rPr>
          <w:b/>
        </w:rPr>
        <w:t>E. 11</w:t>
      </w:r>
    </w:p>
    <w:p>
      <w:r>
        <w:t>Les recourants, plaignants, n'ayant ni chiffré ni a fortiori justifié l'indemnité de procédure requise, cette question ne sera pas examinée (art. 433 al. 2 CPP).</w:t>
      </w:r>
    </w:p>
    <w:p>
      <w:r>
        <w:rPr>
          <w:b/>
        </w:rPr>
        <w:t>E. 12</w:t>
      </w:r>
    </w:p>
    <w:p>
      <w:r>
        <w:t>L'intimé, prévenu, a requis une indemnité de CHF 3'500.- pour ses frais de réponse au recours.</w:t>
      </w:r>
    </w:p>
    <w:p>
      <w:r>
        <w:rPr>
          <w:b/>
        </w:rPr>
        <w:t>E. 12.1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w:t>
      </w:r>
    </w:p>
    <w:p>
      <w:r>
        <w:t>- 22/24 - P/414/2020 p. 1313 ; J. PITTELOUD, Code de procédure pénale suisse - Commentaire à l'usage des praticiens, Zurich/St-Gall 2012, n. 1349 p. 889). La Cour de justice applique au chef d'étude un tarif horaire de CHF 450.- (ACPR/109/2020 du 7 février 2020 et les références citées).</w:t>
      </w:r>
    </w:p>
    <w:p>
      <w:r>
        <w:rPr>
          <w:b/>
        </w:rPr>
        <w:t>E. 12.2</w:t>
      </w:r>
    </w:p>
    <w:p>
      <w:r>
        <w:t>En l'espèce, l'intimé n'a pas produit la note d'honoraires de son conseil. Dans la mesure où l'acte de réponse porte sur 9 pages (pages de garde et de conclusions comprises), dont quatre de discussion juridique, une indemnité de CHF 1'940.-, TVA à 7.7% incluse, paraît adéquate. Elle sera mise à la charge de l'État (ATF 141 IV 476 consid. 1.2). * * * * *</w:t>
      </w:r>
    </w:p>
    <w:p>
      <w:r>
        <w:t>- 23/24 - P/414/2020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