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ACPR/201/2026 vom 20. Februar 2026</w:t>
      </w:r>
    </w:p>
    <w:p>
      <w:r>
        <w:t>GE Cour de justice, 2026-02-20, FR</w:t>
      </w:r>
    </w:p>
    <w:p>
      <w:r>
        <w:rPr>
          <w:b/>
        </w:rPr>
        <w:t xml:space="preserve">Quelle: </w:t>
      </w:r>
      <w:r>
        <w:t>https://mcp.opencaselaw.ch/entscheid/ge_gerichte_ACPR_201_2026</w:t>
      </w:r>
    </w:p>
    <w:p>
      <w:r>
        <w:t>FR: GE_GERICHTE ACPR/201/2026 du 20 février 2026</w:t>
      </w:r>
    </w:p>
    <w:p>
      <w:r>
        <w:t>IT: GE_GERICHTE ACPR/201/2026 del 20 febbraio 2026</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plaignant qui, partie à la procédure (art. 104 al. 1 let. b CPP), a qualité pour agir, ayant un intérêt</w:t>
      </w:r>
    </w:p>
    <w:p>
      <w:r>
        <w:t>- 4/9 - P/8098/2025 juridiquement protégé à la modification ou à l'annulation de la décision querellée (art. 382 al. 1 CPP).</w:t>
      </w:r>
    </w:p>
    <w:p>
      <w:r>
        <w:rPr>
          <w:b/>
        </w:rPr>
        <w:t>E. 2</w:t>
      </w:r>
    </w:p>
    <w:p>
      <w:r>
        <w:t>L'objet du litige est, pour le surplus, strictement circonscrit par les faits dénoncés dans la plainte pénale. Il n'appartient dès lors pas à la Chambre de céans de se prononcer sur les faits allégués pour la première fois par le recourant, selon lesquels le mis en cause l'aurait insulté s'il continuait à ne pas donner suite à ses sollicitations, faute de décision préalable sur ce point (art. 393 al.1 let. a CPP).</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Le recourant estime que les conditions d'une non-entrée en matière ne sont pas réalisées.</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4.2.1. Une ordonnance de non-entrée en matière doit par ailleurs être rendue lorsqu'il existe des empêchements de procéder (art. 310 al. 1 let. b CPP), par exemple lorsque</w:t>
      </w:r>
    </w:p>
    <w:p>
      <w:r>
        <w:t>- 5/9 - P/8098/2025 le délai pour déposer plainte prévu par l'art. 31 CP n'a pas été respecté (arrêt du Tribunal fédéral 6B_848/2018 du 4 décembre 2018 consid. 1.5). 4.2.2. En principe, la plainte ne peut porter que sur l'état de fait réalisé au moment où elle est déposée et ne s'étend pas automatiquement aux actes délictueux ultérieurs. Ce n'est qu'en cas de délits continus que la jurisprudence admet qu'une plainte s'étende aux faits qui perdurent après le dépôt de la plainte (arrêt du Tribunal fédéral 6B_108/2016 du 9 décembre 2016 consid. 5.1; C. FAVRE/ M. PELLET/ P. STOUDMANN, Code pénal annoté, 2011, n. 1.15 ad art. 30 et les références citées, notamment l'arrêt du Tribunal fédéral 6S_10/2005 du 23 février 2005 consid. 2). 4.2.3. Aux termes de l'art. 31 CP, le droit de porter plainte se prescrit par trois mois. Le délai court du jour où l'ayant droit a connu l'auteur de l'infraction. 4.2.4. En présence d'une pluralité d'infractions formant une unité (Einheitsdelikt), le Tribunal fédéral fixe le point de départ du délai pour porter plainte par analogie avec la fixation du point de départ de la prescription au sens de l'article 98 let. b CP (M. DUPUIS/ L. MOREILLON/ C. PIGUET/ S. BERGER/ M. MAZOU/ V. RODIGARI, Petit commentaire du CP, 2ème éd., Bâle 2017, n. 8 ad art. 31) L'art. 98 let. b CP précise que la prescription court dès le jour du dernier acte si l'activité coupable s'est exercée à plusieurs reprises. L'unité naturelle d'action existe lorsque des actes séparés procèdent d'une décision unique et apparaissent objectivement comme des événements formant un ensemble en raison de leur relation étroite dans le temps et dans l'espace; il s'agit de la commission répétée d'infractions – par exemple, une volée de coups – ou de la commission d'une infraction par étapes successives – par exemple, le sprayage d'un mur avec des graffitis pendant plusieurs nuits successives –. L'unité naturelle d'action est cependant exclue si un laps de temps assez long s'est écoulé entre les différents actes, quand bien même ceux- ci seraient liés entre eux (ATF 132 IV 49 consid. 3.1.1.3 p. 54 s.; 131 IV 83 consid. 2.4.5 p. 94). Le Tribunal fédéral interprète restrictivement cette notion, pour éviter de réintroduire sous une autre forme la figure du délit successif ou celle de l'unité sous l'angle de la prescription. Elle ne sera donc admise qu'à la double condition que les faits punissables procèdent d'une décision unique et se traduisent, dans le temps et dans l'espace, par des actes suffisamment rapprochés pour former un tout (arrêt du Tribunal fédéral 6B_310/2014 du 23 novembre 2015 consid. 4.2). La durée sur laquelle s'étendent les actes punissables doit en règle générale être relativement limitée (M. DUPUIS/ L. MOREILLON/ C. PIGUET/ S. BERGER/ M. MAZOU/ V. RODIGARI, (éds), op cit., n. 7 ad art. 98). 4.2.5. L’art. 98 let. c CP prévoit que la prescription court dès le jour où les agissements coupables ont cessé s’ils ont eu une certaine durée.</w:t>
      </w:r>
    </w:p>
    <w:p>
      <w:r>
        <w:t>- 6/9 - P/8098/2025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L'infraction continue se caractérise par le fait que la situation illicite créée par un état de fait ou un comportement contraire au droit se poursuit. Il est réalisé sitôt accompli le premier acte délictueux, mais n'est achevé qu'avec la fin ou la suppression de l'état contraire au droit (ATF 142 IV 18 consid. 2.3 p. 20; 141 IV 205 consid. 6.3 p. 213). La séquestration et l'enlèvement (art. 183 CP), la violation de domicile (art. 186), la violation de l'obligation d'entretien (art. 217 CP) ou l'entrave à l'action pénale (art. 305 CP) en sont des exemples typiques. Pour ces infractions, le délai de prescription - et donc par analogie celui de la plainte pénale - ne commence à courir que du jour où les agissements coupables ont cessé (M. DUPUIS/ L. MOREILLON/ C. PIGUET/ S. BERGER/ M. MAZOU/ V. RODIGARI, (éds), op cit., n. 8 ad art. 31 et les références). Le délit continu ne doit pas être confondu avec la série de délits formant une unité naturelle d’action, même si les conséquences de l’un et de l’autre sont identiques (arrêt du Tribunal fédéral 6B_310/2014 du 23 novembre 2015 consid. 4.3.).</w:t>
      </w:r>
    </w:p>
    <w:p>
      <w:r>
        <w:rPr>
          <w:b/>
        </w:rPr>
        <w:t>E. 4.3</w:t>
      </w:r>
    </w:p>
    <w:p>
      <w:r>
        <w:t>Se rend coupable de menaces celui qui, par une menace grave, alarme ou effraie une personne. L'infraction est poursuivie sur plainte (art. 180 CP).</w:t>
      </w:r>
    </w:p>
    <w:p>
      <w:r>
        <w:rPr>
          <w:b/>
        </w:rPr>
        <w:t>E. 4.4</w:t>
      </w:r>
    </w:p>
    <w:p>
      <w:r>
        <w:t>Sur le plan objectif, l'art. 180 al. 1 CP suppose la réalisation de deux conditions. Premièrement, il faut que l'auteur ait émis une menace grave, soit une menace objectivement de nature à alarmer ou à effrayer la victime. Il convient à cet égard de tenir compte de la réaction qu'aurait une personne raisonnable face à une situation identique (ATF 122 IV 97 consid. 2b). Si le juge bénéficie d'un certain pouvoir d'appréciation pour déterminer si une menace est grave, il doit cependant tenir compte de l'ensemble de la situation (ATF 99 IV 212 consid. 1a). Il devrait en tous les cas l'exclure lorsque le préjudice annoncé est objectivement trop peu important pour que la répression pénale soit justifiée (arrêt du Tribunal fédéral 6B_1428/2016 du 3 octobre 2017 consid. 2.1 et les références). Les menaces de lésions corporelles graves ou de mort doivent en revanche être considérées comme des menaces graves au sens de l'art. 180 CP (arrêts du Tribunal fédéral 6B_787/2018 du 1er octobre 2018 consid. 3.1; 6B_1428/2016 précité du 3 octobre 2017 consid. 2.1 et la référence). Pour que l'infraction soit consommée, il faut en second lieu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précité du 3 octobre 2017 consid. 2.1 et les références). À défaut, il n'y a que tentative de menace (ATF 99 IV 212 précité consid. 1a).</w:t>
      </w:r>
    </w:p>
    <w:p>
      <w:r>
        <w:t>- 7/9 - P/8098/2025 Le contexte dans lequel des propos sont émis est un élément permettant d'en apprécier le caractère menaçant ou non (cf. arrêts du Tribunal fédéral 6B_593/2016 du 27 avril 2017 consid. 3.1.3 ; 6B_307/2013 du 13 juin 2013 consid. 5.2).</w:t>
      </w:r>
    </w:p>
    <w:p>
      <w:r>
        <w:rPr>
          <w:b/>
        </w:rPr>
        <w:t>E. 4.5</w:t>
      </w:r>
    </w:p>
    <w:p>
      <w:r>
        <w:t>En l'espèce, dans sa plainte du 28 novembre 2024, le recourant reproche au mis en cause de l'avoir, depuis avril 2024, menacé à cinq reprises, sans dater toutefois la répétition des agissements dénoncés. En outre, l'infraction de menace est un délit instantané, qui est consommé dès sa commission et ne se caractérise donc pas par la poursuite dans le temps d'une situation illicite qui continuerait à réunir les éléments constitutifs de l'infraction. Partant, en l’absence de délit continu, la plainte déposée le 28 novembre 2024 par le recourant pour les faits litigieux d'avril 2024 est tardive. S'agissant d'autres éventuelles menaces postérieures au 28 août 2024, le recours devrait néanmoins été rejeté pour les motifs qui suivent.</w:t>
      </w:r>
    </w:p>
    <w:p>
      <w:r>
        <w:rPr>
          <w:b/>
        </w:rPr>
        <w:t>E. 4.6</w:t>
      </w:r>
    </w:p>
    <w:p>
      <w:r>
        <w:t>Le recourant reproche au mis en cause de l'avoir menacé de voir ses clients "pour saboter son travail". Or, ces accusations – qui ne reposent que sur les déclarations du recourant – sont contredites par celles du mis en cause. À supposer que les propos litigieux eussent été prononcés, ils n'auraient pas été propres, compte tenu de leur caractère vague et abstrait à alarmer une personne raisonnable placée dans la même situation, le plaignant ne soutenant du reste pas qu'il aurait été "alarmé" ou "effrayé" par ceux-ci. Dès lors, les propos litigieux ne sauraient être qualifiés de "menace grave" au sens de l'art. 180 CP. Il s'ensuit que les éléments constitutifs de cette infraction ne sont pas réunis.</w:t>
      </w:r>
    </w:p>
    <w:p>
      <w:r>
        <w:rPr>
          <w:b/>
        </w:rPr>
        <w:t>E. 5</w:t>
      </w:r>
    </w:p>
    <w:p>
      <w:r>
        <w:t>Justifiée, l'ordonnance querellée sera donc confirmée et le recours rejeté.</w:t>
      </w:r>
    </w:p>
    <w:p>
      <w:r>
        <w:rPr>
          <w:b/>
        </w:rPr>
        <w:t>E. 6</w:t>
      </w:r>
    </w:p>
    <w:p>
      <w:r>
        <w:t>Le recourant, qui succombe, supportera les frais envers l'État, fixés en totalité à CHF 1'000.-, (art. 428 al. 1 CPP et 13 al. 1 du Règlement fixant le tarif des frais en matière pénale, RTFMP ; E 4 10.03) * * * * *</w:t>
      </w:r>
    </w:p>
    <w:p>
      <w:r>
        <w:t>- 8/9 - P/8098/2025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