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ACPR/200/2022 vom 1. April 2021</w:t>
      </w:r>
    </w:p>
    <w:p>
      <w:r>
        <w:t>GE Cour de justice, 2021-04-01, FR</w:t>
      </w:r>
    </w:p>
    <w:p>
      <w:r>
        <w:rPr>
          <w:b/>
        </w:rPr>
        <w:t xml:space="preserve">Quelle: </w:t>
      </w:r>
      <w:r>
        <w:t>https://mcp.opencaselaw.ch/entscheid/ge_gerichte_ACPR_200_2022</w:t>
      </w:r>
    </w:p>
    <w:p>
      <w:r>
        <w:t>FR: GE_GERICHTE ACPR/200/2022 du 1 avril 2021</w:t>
      </w:r>
    </w:p>
    <w:p>
      <w:r>
        <w:t>IT: GE_GERICHTE ACPR/200/2022 del 1 aprile 2021</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Reste à déterminer si les recourants disposent de la qualité de partie plaignante (art. 104 al. 1 let. b CPP) et, partant, de la qualité pour recourir (art. 382 al. 1 CPP).</w:t>
      </w:r>
    </w:p>
    <w:p>
      <w:r>
        <w:rPr>
          <w:b/>
        </w:rPr>
        <w:t>E. 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w:t>
      </w:r>
    </w:p>
    <w:p>
      <w:r>
        <w:rPr>
          <w:b/>
        </w:rPr>
        <w:t>E. 2.2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Lorsqu'une infraction est perpétrée au détriment du patrimoine d'une personne morale, seule celle-ci subit un dommage et peut donc prétendre à la qualité de lésée, à l'exclusion des actionnaires d'une société anonyme, des associés d'une société à</w:t>
      </w:r>
    </w:p>
    <w:p>
      <w:r>
        <w:t>- 8/12 - P/6229/2020 responsabilité limitée, des ayants droit économiques et des créanciers desdites sociétés (ATF 141 IV 380 consid. 2.3.3 p. 386 ; 140 IV 155 consid. 3.3.1 p. 158).</w:t>
      </w:r>
    </w:p>
    <w:p>
      <w:r>
        <w:rPr>
          <w:b/>
        </w:rPr>
        <w:t>E. 2.3</w:t>
      </w:r>
    </w:p>
    <w:p>
      <w:r>
        <w:t>Lorsque le lésé est une personne morale, la qualité pour porter plainte en son nom se détermine selon sa structure interne (ATF 117 IV 437 consid. 1a). La capacité de partie et celle d'ester en justice déterminent si une personne a la faculté de figurer en son propre nom comme partie dans un procès; elles constituent des préalables à l'examen de la qualité pour recourir (arrêt du Tribunal fédéral 2C_684/2015 du 24 février 2017 consid. 1.2).</w:t>
      </w:r>
    </w:p>
    <w:p>
      <w:r>
        <w:rPr>
          <w:b/>
        </w:rPr>
        <w:t>E. 2.4</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Toutefois, le faux dans les titres peut également porter atteinte à des intérêts individuels. En particulier, une personne peut être considérée comme lésée par un faux dans les titres lorsque le faux vise précisément à lui nuire (ATF 140 IV 155 consid. 3.3.3 p. 159; 119 Ia 342 consid. 2b p. 346 s. et les références citées). Tel est le cas lorsque le faux est l'un des éléments d'une infraction contre le patrimoine; la personne dont le patrimoine est menacé ou atteint a alors la qualité de lésé (ATF 119 Ia 342 consid. 2b p. 346 s.; arrêts 6B_1151/2014 du 16 décembre 2015 consid. 1.1; 6B_549/2013 du 24 février 2014 consid. 2.2.2).</w:t>
      </w:r>
    </w:p>
    <w:p>
      <w:r>
        <w:rPr>
          <w:b/>
        </w:rPr>
        <w:t>E. 2.5</w:t>
      </w:r>
    </w:p>
    <w:p>
      <w:r>
        <w:t>En l'espèce, l'Addendum sur lequel le recourant allègue que sa signature aurait été faussement apposée, visait l'inclusion, dans la Convention d'actionnaires, de dix actions de la société H______. La mise en œuvre de cet Addendum a eu pour conséquence que le droit d'emption prévu par la Convention a été appliqué aux actions de H______, lesquelles ont dès lors été acquises par les actionnaires majoritaires. Les actions H______ appartenaient, à teneur de la plainte pénale, à la recourante. C'est donc cette dernière, en sa qualité de personne morale, qui aurait été lésée par la mise en œuvre de la clause d'option d'achat. Si, dans la plainte pénale, A______ déclare agir également au nom de la recourante, il ne l'a nullement établi, puisqu'il est seul à avoir signé la plainte, sans se prévaloir d'un document émanant des administrateurs de B______ LTD l'autorisant à agir pour le compte de celle-ci. La procuration qu'il a signée en faveur de son avocat a été établie en son nom uniquement et ne contient que sa signature. Après que l'ordonnance querellée a dénié à B______ LTD la qualité de partie plaignante, pour ce motif, cette dernière n'a, ni à l'appui du recours ni lors de son droit de répliquer – qu'elle n'a pas exercé –, produit de pièce attestant de sa volonté d'adhérer à la plainte et de participer à la procédure.</w:t>
      </w:r>
    </w:p>
    <w:p>
      <w:r>
        <w:t>- 9/12 - P/6229/2020 Il s'ensuit que, faute d'avoir été valablement engagée par la signature de A______, B______ LTD ne revêt pas la qualité de partie plaignante, de sorte que son recours est irrecevable.</w:t>
      </w:r>
    </w:p>
    <w:p>
      <w:r>
        <w:rPr>
          <w:b/>
        </w:rPr>
        <w:t>E. 2.6</w:t>
      </w:r>
    </w:p>
    <w:p>
      <w:r>
        <w:t>Le recourant allègue, quant à lui, dans la plainte pénale, avoir été "spolié de la propriété des actions H______" au profit du mis en cause. Or, lorsque le faux est un élément d'une infraction contre le patrimoine, seule la personne dont le patrimoine est menacé ou atteint a la qualité de lésé. Dans la mesure où les actions visées par l'Addendum appartenaient à B______ LTD, seule celle-ci pourrait se plaindre d'en avoir été dessaisie, à l'exclusion de son actionnaire. Ce dernier allègue certes que c'est sa signature, sur l'Addendum, qui aurait été falsifiée. Mais, même réalisée, cette falsification ne paraît pas avoir causé de préjudice au recourant. En effet, les signatures des administrateurs de B______ LTD – qui figurent aussi sur le document litigieux –, et dont le patrimoine a été touché par la mise en œuvre de l'Addendum, ne sont pas contestées. Sans autre explication, on ne voit ainsi pas quelles conclusions civiles le recourant pourrait faire valoir dans le cadre de la procédure pénale (arrêt du Tribunal fédéral 6B_1315/2015 du 9 août 2016 consid. 1.2.2). Faute d'intérêt juridiquement protégé, il ne dispose pas de la qualité pour recourir et son recours est également irrecevable.</w:t>
      </w:r>
    </w:p>
    <w:p>
      <w:r>
        <w:rPr>
          <w:b/>
        </w:rPr>
        <w:t>E. 3</w:t>
      </w:r>
    </w:p>
    <w:p>
      <w:r>
        <w:t>Eût-il été recevable, que le recours aurait dû être rejeté. Le recours mentionne que l'Addendum avait "circulé" parmi les administrateurs et avocats, sans que le recourant ne se souvienne avoir signé ce document. Les courriels produits par le mis en cause confirment cet allégué, puisqu'il aurait été demandé aux parties signataires, dans différents pays, d'apposer leur signature originale sur des documents à renvoyer à l'avocat du mis en cause. Le recourant se plaint que la version de l'Addendum annexée à la plainte ne comporterait pas sa signature originale et que, selon l'avis d'un informaticien privé, le document serait composé de plusieurs couches superposées. Selon les courriels produits par le mis en cause, le recourant aurait envoyé à l'avocat une copie scannée du document avec sa signature et précisé que les originaux avaient été envoyés à l'avocate du mis en cause. Le recourant conteste avoir envoyé ce courriel, expliquant que dès lors que le mis en cause avait accès à son ancienne adresse e-mail professionnelle, il aurait pu confectionner ce message. Il perd toutefois de vue que ce message paraît avoir été envoyé depuis son téléphone portable. En outre, le mis en cause a offert de déposer devant le Ministère public le document original, se trouvant chez son avocat. En alléguant que cette pièce – dont le Ministère public n'a pas ordonné l'apport –, serait</w:t>
      </w:r>
    </w:p>
    <w:p>
      <w:r>
        <w:t>- 10/12 - P/6229/2020 un "faux grossier", le recourant ne suscite pas de doute, au vu des éléments figurant au dossier, de sorte que, faute de prévention pénale suffisante, une instruction ne se justifiait pas.</w:t>
      </w:r>
    </w:p>
    <w:p>
      <w:r>
        <w:rPr>
          <w:b/>
        </w:rPr>
        <w:t>E. 4</w:t>
      </w:r>
    </w:p>
    <w:p>
      <w:r>
        <w:t>Les recourants, qui succombent, supporteront les frais envers l'État, qui seront fixés en totalité à CHF 2'000.- (art. 428 al. 1 CPP et 13 al. 1 du Règlement fixant le tarif des frais en matière pénale, RTFMP ; E 4 10.03). * * * * *</w:t>
      </w:r>
    </w:p>
    <w:p>
      <w:r>
        <w:t>- 11/12 - P/6229/2020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