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ACPR/1/2022 vom 3. Januar 2022</w:t>
      </w:r>
    </w:p>
    <w:p>
      <w:r>
        <w:t>GE Cour de justice, 2022-01-03, FR</w:t>
      </w:r>
    </w:p>
    <w:p>
      <w:r>
        <w:rPr>
          <w:b/>
        </w:rPr>
        <w:t xml:space="preserve">Quelle: </w:t>
      </w:r>
      <w:r>
        <w:t>https://mcp.opencaselaw.ch/entscheid/ge_gerichte_ACPR_1_2022</w:t>
      </w:r>
    </w:p>
    <w:p>
      <w:r>
        <w:t>FR: GE_GERICHTE ACPR/1/2022 du 3 janvier 2022</w:t>
      </w:r>
    </w:p>
    <w:p>
      <w:r>
        <w:t>IT: GE_GERICHTE ACPR/1/2022 del 3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 – les formalités de notification (art. 85 al. 2 CPP) n'ayant pas été observées –, concerner une ordonnance sujette à recours auprès de la Chambre de céans (art. 393 al. 1 let. a CPP) et émaner de la partie plaignante qui, partie à la procédure (art.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recourante se plaint d'une constatation incomplète ou erronée des faits par le Ministère public (art. 393 al. 2 let. b CPP). Dès lors que la Chambre de céans dispose d'un plein pouvoir de cognition en droit, en fait et en opportunité (art. 393 al. 2 CPP) (ATF 137 I 195 consid. 2.3.2 p. 197; arrêt du Tribunal fédéral 1B_524/2012 du 15 novembre 2012 consid. 2.1), les éventuelles constatations incomplètes ou inexactes du Ministère public auront été corrigées dans l'état de fait établi ci-avant. Partant, ce grief sera rejeté.</w:t>
      </w:r>
    </w:p>
    <w:p>
      <w:r>
        <w:rPr>
          <w:b/>
        </w:rPr>
        <w:t>E. 3</w:t>
      </w:r>
    </w:p>
    <w:p>
      <w:r>
        <w:t>À teneur de l'art. 310 al. 1 let. a. CPP, le ministère public rend immédiatement une ordonnance de non-entrée en matière s'il ressort de la dénonciation que les éléments constitutifs de l'infraction ou les conditions à l'ouverture de l'action pénale ne sont manifestement pas réunis.</w:t>
      </w:r>
    </w:p>
    <w:p>
      <w:r>
        <w:t>- 7/14 - P/9260/2021 Au moment de statuer sur l'ouverture éventuelle de l'instruction, le ministère public doit examiner si les conditions d'exercice de l'action publique sont réunies, c'est-à- dire si les faits qui sont portés à sa connaissance sont constitutifs d'une infraction pénale, et si la poursuite est recevable. Il suffit que l'un des éléments constitutifs de l'infraction ne soit manifestement pas réalisé pour que la non-entrée en matière se justifie (A. KUHN / Y. JEANNERET / C. PERRIER DEPEURSINGE (éds), Commentaire romand : Code de procédure pénale suisse, 2ème éd., Bâle 2019, n. 5 et</w:t>
      </w:r>
    </w:p>
    <w:p>
      <w:r>
        <w:rPr>
          <w:b/>
        </w:rPr>
        <w:t>E. 8</w:t>
      </w:r>
    </w:p>
    <w:p>
      <w:r>
        <w:t>La recourante, qui succombe, supportera les frais envers l'État, qui seront fixés en totalité à CHF 600.- pour tenir compte de sa situation financière (art. 428 al. 1 CPP et</w:t>
      </w:r>
    </w:p>
    <w:p>
      <w:r>
        <w:rPr>
          <w:b/>
        </w:rPr>
        <w:t>E. 13</w:t>
      </w:r>
    </w:p>
    <w:p>
      <w:r>
        <w:t>al. 1 du Règlement fixant le tarif des frais en matière pénale, RTFMP; E 4 10.03). Le refus de l'assistance judiciaire sera, quant à lui, rendu sans frais (art. 20 RAJ; arrêt du Tribunal fédéral 6B_215/2018 du 14 juin 2018 consid. 1.2). * * * * *</w:t>
      </w:r>
    </w:p>
    <w:p>
      <w:r>
        <w:t>- 13/14 - P/9260/2021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