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ACPR/199/2020 vom 15. Januar 2020</w:t>
      </w:r>
    </w:p>
    <w:p>
      <w:r>
        <w:t>GE Cour de justice, 2020-01-15, FR</w:t>
      </w:r>
    </w:p>
    <w:p>
      <w:r>
        <w:rPr>
          <w:b/>
        </w:rPr>
        <w:t xml:space="preserve">Quelle: </w:t>
      </w:r>
      <w:r>
        <w:t>https://mcp.opencaselaw.ch/entscheid/ge_gerichte_ACPR_199_2020</w:t>
      </w:r>
    </w:p>
    <w:p>
      <w:r>
        <w:t>FR: GE_GERICHTE ACPR/199/2020 du 15 janvier 2020</w:t>
      </w:r>
    </w:p>
    <w:p>
      <w:r>
        <w:t>IT: GE_GERICHTE ACPR/199/2020 del 15 gennaio 2020</w:t>
      </w:r>
    </w:p>
    <w:p>
      <w:pPr>
        <w:pStyle w:val="Heading2"/>
      </w:pPr>
      <w:r>
        <w:t>Erwägungen</w:t>
      </w:r>
    </w:p>
    <w:p>
      <w:r>
        <w:rPr>
          <w:b/>
        </w:rPr>
        <w:t>E. 1.1</w:t>
      </w:r>
    </w:p>
    <w:p>
      <w:r>
        <w:t>Bien qu'adressé le 27 janvier 2020 à une autorité incompétente pour en connaître (art. 91 al. 4 CPP), l'acte formé par Me A______ doit être considéré comme un recours, au sens des art. 393 et ss CPP. En outre, au vu des considérants qui suivent, l'ordonnance querellée doit être qualifiée de définitive, malgré l'apparente contradiction entre la mention – sur la même page de la décision entreprise – qu'un recours est immédiatement ouvert, mais qu'une motivation de ladite décision peut, dans le même délai, également être demandée.</w:t>
      </w:r>
    </w:p>
    <w:p>
      <w:r>
        <w:rPr>
          <w:b/>
        </w:rPr>
        <w:t>E. 1.2</w:t>
      </w:r>
    </w:p>
    <w:p>
      <w:r>
        <w:t>Au surplus, le recours est recevable pour avoir été déposé selon la forme et dans le délai prescrits (art. 396 al. 1 CPP), concerner une décision sujette à recours auprès de la Chambre de céans (art. 20 al. 1 let. a, 135 al. 3 let. a et 393 al. 1 let. b CPP; 128 al. 1 let. a et al. 2 let. a LOJ) et émaner du défenseur d'office, qui a qualité pour recourir (art. 135 al. 3 let. a CPP).</w:t>
      </w:r>
    </w:p>
    <w:p>
      <w:r>
        <w:rPr>
          <w:b/>
        </w:rPr>
        <w:t>E. 1.3</w:t>
      </w:r>
    </w:p>
    <w:p>
      <w:r>
        <w:t>Il est communément admis en procédure que la motivation d'un acte de recours doit être entièrement contenue dans l'acte lui-même. Elle ne saurait dès lors être complétée ou corrigée ultérieurement, l'art. 385 al. 2 CPP ne devant pas être appliqué afin de détourner la portée de l'art. 89 al. 1 CPP qui interdit la prolongation des délais fixés par la loi (arrêts du Tribunal fédéral 1B_363/2014 du 7 janvier 2015 consid. 2.1). Partant, aucun délai supplémentaire ne sera accordé au recourant pour compléter son recours, étant précisé qu'il a eu l'occasion de formuler des observations ultérieures.</w:t>
      </w:r>
    </w:p>
    <w:p>
      <w:r>
        <w:rPr>
          <w:b/>
        </w:rPr>
        <w:t>E. 2</w:t>
      </w:r>
    </w:p>
    <w:p>
      <w:r>
        <w:t>Le recourant reproche au TP de ne pas avoir suffisamment motivé son ordonnance.</w:t>
      </w:r>
    </w:p>
    <w:p>
      <w:r>
        <w:rPr>
          <w:b/>
        </w:rPr>
        <w:t>E. 2.1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w:t>
      </w:r>
    </w:p>
    <w:p>
      <w:r>
        <w:t>- 6/10 - P/13843/2008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6B_502/2013 du</w:t>
      </w:r>
    </w:p>
    <w:p>
      <w:r>
        <w:rPr>
          <w:b/>
        </w:rPr>
        <w:t>E. 2.2</w:t>
      </w:r>
    </w:p>
    <w:p>
      <w:r>
        <w:t>En l'espèce, dans sa décision querellée, le TP avait d'ores et déjà précisé de manière suffisamment détaillée, eu égard à la jurisprudence précitée, les activités du recourant n'ayant pas été indemnisées. Le recourant a d'ailleurs été en mesure de la contester de façon circonstanciée, démontrant que la décision en cause était suffisamment motivée. Ce grief sera par conséquent rejeté.</w:t>
      </w:r>
    </w:p>
    <w:p>
      <w:r>
        <w:rPr>
          <w:b/>
        </w:rPr>
        <w:t>E. 3</w:t>
      </w:r>
    </w:p>
    <w:p>
      <w:r>
        <w:t>Le recourant conteste l'absence d'indemnisation des recherches juridiques effectuées par ses soins.</w:t>
      </w:r>
    </w:p>
    <w:p>
      <w:r>
        <w:rPr>
          <w:b/>
        </w:rPr>
        <w:t>E. 3.1</w:t>
      </w:r>
    </w:p>
    <w:p>
      <w:r>
        <w:t>Le travail consistant en des recherches juridiques, sauf questions particulièrement pointues, n'est pas indemnisé, l'État ne devant pas assumer la charge financière de la formation de l'avocat-stagiaire, laquelle incombe à son maître de stage, ou la formation continue de l'avocat breveté (ACPR/774/2016 du 6 décembre 2016; AARP/147/2016 du 17 mars 2016; AARP/52/2016 du 9 février 2016 et les autres arrêts cités).</w:t>
      </w:r>
    </w:p>
    <w:p>
      <w:r>
        <w:rPr>
          <w:b/>
        </w:rPr>
        <w:t>E. 3.2</w:t>
      </w:r>
    </w:p>
    <w:p>
      <w:r>
        <w:t>En l'espèce, les recherches juridiques en question, effectuées le jour de l'audience de jugement, avaient trait à l'infraction de dénonciation calomnieuse (art. 303 CP) et à la "coordination" de procédures. Le recourant ne fournit cependant aucun développement particulier à ce sujet. Au surplus, l'infraction précitée ne saurait être considérée comme particulièrement complexe, étant relativement commune et ne nécessitant pas de recherches juridiques approfondies, qui plus est pour la défense d'une partie plaignante, qui n'a pas la charge de requérir l'application de la loi ni les peines de droit. On ne saurait dès lors considérer que des recherches excédant le seuil de la formation continue d'un avocat se justifiaient. La réduction opérée par le premier juge ne prête donc pas le flanc à la critique.</w:t>
      </w:r>
    </w:p>
    <w:p>
      <w:r>
        <w:rPr>
          <w:b/>
        </w:rPr>
        <w:t>E. 4</w:t>
      </w:r>
    </w:p>
    <w:p>
      <w:r>
        <w:t>Le recourant reproche également au TP de n'avoir pas tenu compte de l'entretien avec son client et de l'activité dédiée à la rédaction de son recours à la Chambre d'accusation, soit avant que l'assistance judiciaire ne soit octroyée.</w:t>
      </w:r>
    </w:p>
    <w:p>
      <w:r>
        <w:t>- 7/10 - P/13843/2008</w:t>
      </w:r>
    </w:p>
    <w:p>
      <w:r>
        <w:rPr>
          <w:b/>
        </w:rPr>
        <w:t>E. 4.1</w:t>
      </w:r>
    </w:p>
    <w:p>
      <w:r>
        <w:t>L'assistance juridique est en règle générale octroyée avec effet au jour du dépôt de la requête (art. 5 al. 1 RAJ ; ACPR/360/2015 du 30 juin 2015 consid. 3.1), sous réserve de démarches urgentes pour lesquelles le dépôt simultané d'une telle requête n'était – précisément au vu de l'urgence – pas possible (ATF 122 I 203 consid. 2f p. 208 s. ; arrêt du Tribunal fédéral 1B_205/2019 du 14 juin 2019 consid. 5). L'activité antérieure à la prise d'effet ou, au plus tard, à la nomination de l'avocat, n'est pas prise en charge par l'assistance juridique (AARP/379/2013 du 20 août 2013 ; AARP/437/2013 du 23 septembre 2013 ; AARP/465/2013 du 8 octobre 2013 ; AARP/546/2013 du 13 novembre 2013), de même que celle exercée entre deux nominations (AARP/440/2013 du 24 septembre 2013).</w:t>
      </w:r>
    </w:p>
    <w:p>
      <w:r>
        <w:rPr>
          <w:b/>
        </w:rPr>
        <w:t>E. 4.2</w:t>
      </w:r>
    </w:p>
    <w:p>
      <w:r>
        <w:t>En l'espèce, B______ a adressé au Ministère public une demande d'assistance judiciaire le 22 avril 2011, laquelle lui a été octroyée par ordonnance du 30 juin 2011, avec effet au 1er février 2011. Contrairement à ce que le recourant affirme, les effets de l'assistance judiciaire ne peuvent, en principe, rétroagir qu'au jour du dépôt de la demande, sous réserve de démarches urgentes entreprises peu de temps avant. S'agissant des postes antérieurs au 1er février 2011, soit "conférence avec le client" d'une heure, le 3 février 2010, et "recours à la Chambre d'accusation" de trois heures et trente minutes, le 8 octobre 2010, il ne ressort pas du dossier que ces activités aient été urgentes au point que l'assistance judiciaire ne pouvait être requise avant leur accomplissement. Le recourant ne l'allègue d'ailleurs pas. Partant, la décision du TP de ne pas indemniser les activités antérieures à la nomination d'office du recourant n'apparaît nullement critiquable et est conforme au règlement sur l'assistance juridique.</w:t>
      </w:r>
    </w:p>
    <w:p>
      <w:r>
        <w:rPr>
          <w:b/>
        </w:rPr>
        <w:t>E. 5</w:t>
      </w:r>
    </w:p>
    <w:p>
      <w:r>
        <w:t>Le recourant remet en cause les réductions d'heures de travail effectuées pour la préparation des audiences devant le Ministère public, respectivement pour la préparation de l'audience de jugement apportées par le Tribunal. 5.1.1. Selon l'art. 16 al. 2 RAJ, seules les heures nécessaires sont retenues. Elles sont appréciées en fonction notamment de la nature, de l'importance et des difficultés de la cause, de la valeur litigieuse, de la qualité du travail fourni et du résultat obtenu.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(ordonnance de la Cour des plaintes du Tribunal pénal fédéral BB.2013.176 du 25 avril 2014, consid. 6; ACPR/804/2016 du 20 décembre 2016). Ainsi, le temps effectivement consacré à l'étude du dossier sera pris en compte, pour autant que cette activité réponde à l'exigence de nécessité (AARP/189/2016 du</w:t>
      </w:r>
    </w:p>
    <w:p>
      <w:r>
        <w:t>- 8/10 - P/13843/2008 28 avril 2016). D'autant plus de retenue s'imposera à cet égard que la constitution de l'avocat est ancienne de sorte qu'il est censé bien connaître la cause et/ou que le dossier n'a pas connu de développements particuliers (ACPR/678/2016 du 24 octobre 2016; AARP/187/2016 du 11 mai 2016). 5.1.2. La durée nécessaire de préparation des audiences dépend du cas d'espèce; toutefois, en moyenne, une trentaine de minutes suffisent (ACPR/678/2016 du 24 octobre 2016; AARP/433/2014 du 7 octobre 2014). Afin d'apprécier le temps adéquat pour la préparation de l'audience de jugement, il faut tenir compte des circonstances du cas, notamment du temps précédemment passé sur le dossier (ACPR/399/2016 du 29 juin 2016; AARP/433/2014 du 7 octobre 2014);</w:t>
      </w:r>
    </w:p>
    <w:p>
      <w:r>
        <w:rPr>
          <w:b/>
        </w:rPr>
        <w:t>E. 5.2</w:t>
      </w:r>
    </w:p>
    <w:p>
      <w:r>
        <w:t>En l'occurrence, au vu de l'absence de complexité du dossier, de son volume limité (2 classeurs fédéraux), du fait que le recourant en avait une bonne connaissance et des enjeux relativement simples, la préparation des quatre audiences devant le Ministère public doit être retenue à concurrence de 30 minutes pour chacune de celles-ci. Il n'est, en effet, ni allégué, ni établi, que ces audiences auraient été complexes au point de nécessiter une préparation plus longue que celle usuellement admise. La préparation de l'audience de jugement du 5 septembre 2014 impliquait, quant à elle, une brève étude récapitulative de la procédure, compte tenu du temps précédemment passé sur le dossier – lequel n'a d'ailleurs pas évolué de manière déterminante depuis le 8 mai 2013, date de la dernière audience appointée par le Ministère public – et la préparation de la plaidoirie. En l'occurrence, le recourant a facturé, à ce titre, 7h30 au total. Le TP a réduit cette durée de 3h30, la ramenant ainsi à 4 heures. Dans la mesure où cette activité ne pouvait, pour les motifs exposés supra, raisonnablement excéder cette durée, on ne voit pas que le TP ait mésusé de son pouvoir d'appréciation en retenant que les heures requises étaient excessives. Par conséquent, la réduction retenue par celui-ci pour ladite préparation est exempte de critique.</w:t>
      </w:r>
    </w:p>
    <w:p>
      <w:r>
        <w:rPr>
          <w:b/>
        </w:rPr>
        <w:t>E. 6</w:t>
      </w:r>
    </w:p>
    <w:p>
      <w:r>
        <w:t>Infondé, le recours doit être rejeté.</w:t>
      </w:r>
    </w:p>
    <w:p>
      <w:r>
        <w:rPr>
          <w:b/>
        </w:rPr>
        <w:t>E. 7</w:t>
      </w:r>
    </w:p>
    <w:p>
      <w:r>
        <w:t>Le recourant, qui succombe, supportera les frais envers l'État, qui seront fixés en totalité à CHF 900.- (art. 428 al. 1 CPP et 13 al. 1 du Règlement fixant le tarif des frais en matière pénale, RTFMP ; E 4 10.03), y compris un émolument de décision. * * * * *</w:t>
      </w:r>
    </w:p>
    <w:p>
      <w:r>
        <w:t>- 9/10 - P/13843/2008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