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ACPR/198/2026 vom 20. Februar 2026</w:t>
      </w:r>
    </w:p>
    <w:p>
      <w:r>
        <w:t>GE Cour de justice, 2026-02-20, FR</w:t>
      </w:r>
    </w:p>
    <w:p>
      <w:r>
        <w:rPr>
          <w:b/>
        </w:rPr>
        <w:t xml:space="preserve">Quelle: </w:t>
      </w:r>
      <w:r>
        <w:t>https://mcp.opencaselaw.ch/entscheid/ge_gerichte_ACPR_198_2026</w:t>
      </w:r>
    </w:p>
    <w:p>
      <w:r>
        <w:t>FR: GE_GERICHTE ACPR/198/2026 du 20 février 2026</w:t>
      </w:r>
    </w:p>
    <w:p>
      <w:r>
        <w:t>IT: GE_GERICHTE ACPR/198/2026 del 20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w:t>
      </w:r>
    </w:p>
    <w:p>
      <w:r>
        <w:t>- 5/9 - P/607/2026 pourrait être impliqué dans d'autres infractions, même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7B_529/2025 du 26 janvier 2026, consid. 3.1.3; 1B_259/2022 précité consid. 4.3; 1B_230/2022 du</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déjà fait l'objet de cinq condamnations, certes relativement anciennes, pour délit à la LStup, et a, dans le cadre de la présente procédure, été interpellé à trois reprises dont deux fois dans le cadre d'opérations de police visant à lutter contre le trafic de stupéfiants, un délit à la LStup lui étant alors reproché. Il persiste par ailleurs à revenir dans le canton de Genève alors qu'il fait l'objet d'une interdiction d'y entrer, est sans revenus et sans fortune. Ces éléments vont de pair avec des reproches répétés de situation irrégulière en Suisse, étant précisé que les trois procédures en cours contre lui (une devant le Tribunal de police et deux devant le Ministère public) ne l'ont pas dissuadé d'y venir le 9 janvier dernier, sans qu'il ne soit en mesure de s'en expliquer, sinon parce qu'il avait "envie de faire la fête". S'y ajoute sa présence, répétée, dans le quartier des Pâquis, lieu propice au trafic de stupéfiants, et les observations policières des 1 décembre 2025 et 9 janvier 2026 selon lesquelles il avait été vu par la police procéder à une transaction de drogue. Il y a dès</w:t>
      </w:r>
    </w:p>
    <w:p>
      <w:r>
        <w:t>- 6/9 - P/607/2026 lors lieu de craindre un ancrage dans la délinquance, en particulier le trafic de stupéfiants, et il est permis de penser que l'intéressé pourrait être impliqué dans d'autres infractions de ce type encore inconnues des autorités, qui pourraient lui être attribuées si l'on était en mesure de comparer son profil d'ADN à des traces prélevées sur les lieux de leur commission. Les infractions à la LStup revêtent également une certaine gravité.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aurait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infractions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w:t>
      </w:r>
    </w:p>
    <w:p>
      <w:r>
        <w:t>- 7/9 - P/607/2026 à nouveau soupçonné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à son encontre.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 4. Justifiée, l'ordonnance querellée sera donc confirmée. 5. Le recourant, qui succombe, supportera les frais envers l'État, fixés en totalité à CHF 600.- (art. 428 al. 1 CPP et 13 al. 1 du Règlement fixant le tarif des frais en matière pénale, RTFMP ; E 4 10.03). 6. Le recourant plaide au bénéfice de l’assistance juridique. Dans la mesure où la procédure se poursuit, l’indemnité de son défenseur d’office sera fixée à la fin de la procédure (art. 135 al. 2 CPP). * * * * *</w:t>
      </w:r>
    </w:p>
    <w:p>
      <w:r>
        <w:t>- 8/9 - P/607/2026</w:t>
      </w:r>
    </w:p>
    <w:p>
      <w:r>
        <w:rPr>
          <w:b/>
        </w:rPr>
        <w:t>E. 7</w:t>
      </w:r>
    </w:p>
    <w:p>
      <w:r>
        <w:t>septembre 2022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