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ACPR/195/2025 vom 13. Februar 2025</w:t>
      </w:r>
    </w:p>
    <w:p>
      <w:r>
        <w:t>GE Cour de justice, 2025-02-13, FR</w:t>
      </w:r>
    </w:p>
    <w:p>
      <w:r>
        <w:rPr>
          <w:b/>
        </w:rPr>
        <w:t xml:space="preserve">Quelle: </w:t>
      </w:r>
      <w:r>
        <w:t>https://mcp.opencaselaw.ch/entscheid/ge_gerichte_ACPR_195_2025</w:t>
      </w:r>
    </w:p>
    <w:p>
      <w:r>
        <w:t>FR: GE_GERICHTE ACPR/195/2025 du 13 février 2025</w:t>
      </w:r>
    </w:p>
    <w:p>
      <w:r>
        <w:t>IT: GE_GERICHTE ACPR/195/2025 del 13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ADN.</w:t>
      </w:r>
    </w:p>
    <w:p>
      <w:r>
        <w:rPr>
          <w:b/>
        </w:rPr>
        <w:t>E. 2.1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l'établissement du profil 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w:t>
      </w:r>
    </w:p>
    <w:p>
      <w:r>
        <w:t>- 4/7 - P/3880/2025 Depuis 2013, il a en effet été condamné à huit reprises pour des infractions à la LStup, en lien avec des agissements qui dépassent le stade de la simple consommation personnelle, laquelle a fait l'objet de quatre contraventions en sus. Dans la présente procédure, il a, en outre, été interpellé alors qu'il transportait une boulette de cocaïne de 0.7 gramme. Ces condamnations à la LStup vont de pair avec des reproches répétés de séjours illégaux et ruptures de ban, étant précisé que les quatre procédures actuellement pendantes à l'encontre du recourant concernent également de tels faits. Ces nombreux antécédents, auxquels s'ajoute le contexte personnel du recourant, laissent craindre un ancrage dans la délinquance liée aux stupéfiants. Ces éléments permettent de penser que l'intéressé pourrait être impliqué dans d'autres infractions à la LStup encore inconnues des autorités, qui pourraient lui être attribuées si l'on était en mesure de comparer son profil ADN à des traces prélevées sur les lieux de leurs commissions. Enfin, les infractions à la LStup susceptibles d'être élucidées revêtent une certaine gravité. Il s'agit d'ailleurs d'un des cas expressément listés par la Directive A.5 du Procureur général (cf. n. 4.3) qui justifie l'établissement d'un profil ADN pour les infractions passées. À titre superfétatoire, le recourant ne saurait tirer argument du fait que son profil ADN a d'ores et déjà été établi, à ses frais, dans le cadre d'une précédente procédure s'étant soldée par un jugement de culpabilité le concernant. Dès lors que les profils ADN sont soumis à effacement après un certain délai (cf. art. 16 de la Loi sur les profils d'ADN; RS 363), il existe un intérêt, pour autant que les conditions soient à nouveau réalisées, à soumettre derechef le prévenu à cette mesure, laquelle n'est pas disproportionnée. En définitive, les réquisits pour le prononcé de l'établissement du profil ADN du recourant sont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intégralité à CHF 200.- pour tenir compte de sa situation financière qui n'apparaît pas favorable (art. 428 al. 1 CPP et 13 al. 1 du Règlement fixant le tarif des frais en matière pénale, RTFMP; E 4 10.03). * * * * *</w:t>
      </w:r>
    </w:p>
    <w:p>
      <w:r>
        <w:t>- 6/7 - P/3880/2025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