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ACPR/195/2024 vom 21. November 2023</w:t>
      </w:r>
    </w:p>
    <w:p>
      <w:r>
        <w:t>GE Cour de justice, 2023-11-21, FR</w:t>
      </w:r>
    </w:p>
    <w:p>
      <w:r>
        <w:rPr>
          <w:b/>
        </w:rPr>
        <w:t xml:space="preserve">Quelle: </w:t>
      </w:r>
      <w:r>
        <w:t>https://mcp.opencaselaw.ch/entscheid/ge_gerichte_ACPR_195_2024</w:t>
      </w:r>
    </w:p>
    <w:p>
      <w:r>
        <w:t>FR: GE_GERICHTE ACPR/195/2024 du 21 novembre 2023</w:t>
      </w:r>
    </w:p>
    <w:p>
      <w:r>
        <w:t>IT: GE_GERICHTE ACPR/195/2024 del 21 novembre 2023</w:t>
      </w:r>
    </w:p>
    <w:p>
      <w:pPr>
        <w:pStyle w:val="Heading2"/>
      </w:pPr>
      <w:r>
        <w:t>Erwägungen</w:t>
      </w:r>
    </w:p>
    <w:p>
      <w:r>
        <w:rPr>
          <w:b/>
        </w:rPr>
        <w:t>E. 1</w:t>
      </w:r>
    </w:p>
    <w:p>
      <w:r>
        <w:t>Le recours est recevable pour avoir été déposé dans le délai prescrit (art. 396 al. 1 CPP), concerner une décision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 Bien que limite sous l'angle de la condition de la motivation suffisante, le recours, en tant qu'il émane d'un justiciable en personne, sera néanmoins considéré comme recevable (art. 385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3.1</w:t>
      </w:r>
    </w:p>
    <w:p>
      <w:r>
        <w:t>À teneur de l'art. 310 al. 1 let. a. CPP, le ministère public rend immédiatement une ordonnance de non-entrée en matière s'il ressort de la dénonciation que les éléments constitutifs de l'infraction ou les conditions à l'ouverture de l'action pénale ne sont manifestement pas réunis.</w:t>
      </w:r>
    </w:p>
    <w:p>
      <w:r>
        <w:rPr>
          <w:b/>
        </w:rPr>
        <w:t>E. 3.2</w:t>
      </w:r>
    </w:p>
    <w:p>
      <w:r>
        <w:t>En l'espèce, à l'instar du Ministère public, on ne décèle, dans la plainte du recourant, aucun indice de la commission d'une infraction pénale, de surcroît par une autorité suisse. L'acte de recours n'est pas plus explicite. On y comprend que des démarches ont été entreprises par le recourant auprès de la mission permanente de C______ pour la délivrance d'un nouveau passeport, qui lui a remis une attestation en ce sens, mais qu'à ce jour, il n'a pas encore pu obtenir ce document. Le désagrément occasionné par cette situation et l'empêchement de voyager en découlant ne sont pas constitutifs d'une infraction pénale. En outre, le Ministère public n'a pas pour vocation de jouer un rôle de facilitateur entre le recourant et un État étranger. Partant, l'ordonnance de non-entrée en matière est fondée.</w:t>
      </w:r>
    </w:p>
    <w:p>
      <w:r>
        <w:rPr>
          <w:b/>
        </w:rPr>
        <w:t>E. 4</w:t>
      </w:r>
    </w:p>
    <w:p>
      <w:r>
        <w:t>Le recours sera ainsi rejeté.</w:t>
      </w:r>
    </w:p>
    <w:p>
      <w:r>
        <w:t>- 4/6 - P/13644/2023</w:t>
      </w:r>
    </w:p>
    <w:p>
      <w:r>
        <w:rPr>
          <w:b/>
        </w:rPr>
        <w:t>E. 5</w:t>
      </w:r>
    </w:p>
    <w:p>
      <w:r>
        <w:t>Le recourant, qui succombe, supportera les frais envers l'État, qui seront fixés en totalité à CHF 900.- (art. 428 al. 1 CPP et 13 al. 1 du Règlement fixant le tarif des frais en matière pénale, RTFMP ; E 4 10.03). * * * * *</w:t>
      </w:r>
    </w:p>
    <w:p>
      <w:r>
        <w:t>- 5/6 - P/13644/2023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