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ACPR/193/2025 vom 28. Januar 2025</w:t>
      </w:r>
    </w:p>
    <w:p>
      <w:r>
        <w:t>GE Cour de justice, 2025-01-28, FR</w:t>
      </w:r>
    </w:p>
    <w:p>
      <w:r>
        <w:rPr>
          <w:b/>
        </w:rPr>
        <w:t xml:space="preserve">Quelle: </w:t>
      </w:r>
      <w:r>
        <w:t>https://mcp.opencaselaw.ch/entscheid/ge_gerichte_ACPR_193_2025</w:t>
      </w:r>
    </w:p>
    <w:p>
      <w:r>
        <w:t>FR: GE_GERICHTE ACPR/193/2025 du 28 janvier 2025</w:t>
      </w:r>
    </w:p>
    <w:p>
      <w:r>
        <w:t>IT: GE_GERICHTE ACPR/193/2025 del 28 gennaio 2025</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l'ordonnance constitue une "autre décision ultérieure" indépendante au sens de l'art. 363 al. 3 CPP (arrêts du Tribunal fédéral 6B_1136/2015 du 18 juillet 2016 consid. 4.3 ; 6B_158/2013 du 25 avril 2013 consid. 2.1; Y. JEANNERET/A. KUHN/C. PERRIER DEPEURSINGE (éds), Commentaire romand, Code de procédure pénale suisse, 2ème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 bien que formé par un justiciable en personne, le recours et son but, soit l'annulation de l'ordonnance querellée et l'octroi de la libération conditionnelle, demeurent compréhensibles – et le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t>- 6/9 - PM/29/2025</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arrêt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7B_678/2023 du 27 octobre 2023 précité consid. 2.2.2).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la condition objective de la libération conditionnelle du recourant est réalisée depuis le 28 janvier 2025. Le comportement du recourant en détention ne s'oppose pas à la libération conditionnelle, ce qui n'est au demeurant pas contesté. Cet élément – favorable – ne saurait toutefois conduire, à lui seul, à l'octroi d'une libération conditionnelle. À teneur du dossier, le pronostic se présente sous un jour clairement défavorable. Outre les peines qu'il exécute actuellement, le recourant a été condamné à cinq autres reprises, ce qui montre le peu de poids de ces condamnations – dont la gravité est croissante – sur son comportement. Il n'a pas non plus su saisir les chances données par le prononcé de peines pécuniaires (la première avec sursis, révoqué finalement le</w:t>
      </w:r>
    </w:p>
    <w:p>
      <w:r>
        <w:t>- 7/9 - PM/29/2025 31 janvier 2020) ainsi que par le sursis octroyé à la peine privative de liberté de 10 mois, n'hésitant pas à revenir en Suisse, malgré son expulsion, et enfreignant par la même occasion la LStup. S'agissant de ses projets, il évoque aussi bien son retour à C______, avec la possibilité d'y travailler comme intérimaire, qu'un départ à E______, où il bénéficierait d'un logement chez sa mère, d'une activité de bénévole [non attestée par pièce] et d'un emploi à plein temps fourni par son oncle. Les promesses d'embauche produites sont sujettes à caution : outre le fait qu'elles sont incomplètes, on ignore à quel titre son oncle – qui semble être domicilié à des adresses différentes – pourrait l'engager, quel serait l'emploi proposé [un poste d'ouvrier avec une rémunération mensuelle brute de EUR 1'250.- ou d'agent de maintenance avec une rémunération de 1'747.20 dès le 30 janvier 2025] et le lien avec J______, dont le timbre est apposé en bas de page. L'élément nouveau avancé au stade du recours – selon lequel il serait désormais séparé de son amie avec laquelle il avait une relation stable – semble de pure circonstance, étant rappelé qu'il n'avait pas hésité à affirmer, en juillet 2024, devant la police, qu'elle était enceinte de lui de six mois, alors que tel n'est pas le cas. Enfin, les regrets du recourant – qui affirme avoir pris conscience de ses erreurs – sont insuffisants, au vu du dossier, pour remettre en cause les constats qui précèdent. Compte tenu de l'ensemble de ces éléments, les conditions d'une libération conditionnelle ne sont, en l'état, pas réalisées. L'appréciation émise par le TAPEM ne souffre dès lors d'aucune critique.</w:t>
      </w:r>
    </w:p>
    <w:p>
      <w:r>
        <w:rPr>
          <w:b/>
        </w:rPr>
        <w:t>E. 4</w:t>
      </w:r>
    </w:p>
    <w:p>
      <w:r>
        <w:t>Justifiée, la décision querellée sera donc confirmée et le recours rejeté.</w:t>
      </w:r>
    </w:p>
    <w:p>
      <w:r>
        <w:rPr>
          <w:b/>
        </w:rPr>
        <w:t>E. 5</w:t>
      </w:r>
    </w:p>
    <w:p>
      <w:r>
        <w:t>Le recourant, qui succombe, supportera les frais envers l'État, qui seront fixés en totalité à CHF 600.- (art. 428 al. 1 CPP et 13 al. 1 du Règlement fixant le tarif des frais en matière pénale, RTFMP ; E 4 10.03). * * * * *</w:t>
      </w:r>
    </w:p>
    <w:p>
      <w:r>
        <w:t>- 8/9 - PM/29/2025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