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ACPR/193/2023 vom 16. Februar 2023</w:t>
      </w:r>
    </w:p>
    <w:p>
      <w:r>
        <w:t>GE Cour de justice, 2023-02-16, FR</w:t>
      </w:r>
    </w:p>
    <w:p>
      <w:r>
        <w:rPr>
          <w:b/>
        </w:rPr>
        <w:t xml:space="preserve">Quelle: </w:t>
      </w:r>
      <w:r>
        <w:t>https://mcp.opencaselaw.ch/entscheid/ge_gerichte_ACPR_193_2023</w:t>
      </w:r>
    </w:p>
    <w:p>
      <w:r>
        <w:t>FR: GE_GERICHTE ACPR/193/2023 du 16 février 2023</w:t>
      </w:r>
    </w:p>
    <w:p>
      <w:r>
        <w:t>IT: GE_GERICHTE ACPR/193/2023 del 16 febbraio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encore un intérêt juridiquement protégé à la modification ou à l'annulation de la décision querellée – l'audience de jugement n'ayant pas encore eu lieu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invoque une rupture du lien de confiance avec son défenseur d'office et demande la révocation de ce dernier.</w:t>
      </w:r>
    </w:p>
    <w:p>
      <w:r>
        <w:rPr>
          <w:b/>
        </w:rPr>
        <w:t>E. 3.1</w:t>
      </w:r>
    </w:p>
    <w:p>
      <w:r>
        <w:t>Selon l'art. 133 CPP, le défenseur d'office est désigné par la direction de la procédure compétente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par. 3 let. c CEDH (arrêt du Tribunal fédéral 1B_387/2012 du 24 janvier 2013 consid. 4.3; Message du Conseil fédéral du 21 décembre 2005 relatif à l'unification du droit de la</w:t>
      </w:r>
    </w:p>
    <w:p>
      <w:r>
        <w:t>- 4/7 - P/7371/2022 procédure, FF 2006 1057, spéc. 1159 [ci-après message]; cf. arrêts rendus avant l'entrée en vigueur du CPP: ATF 105 Ia 296 consid. 1d p. 302; arrêts 1B_74/ 2008 du 18 juin 2008 consid. 2 et 1B_245/2008 du 11 novembre 2008 consid. 2; arrêt CourEDH Croissant contre Allemagne du 25 septembre 1992, § 29). L'art. 133 al. 2 CPP ne garantit pas au détenu le droit de choisir librement son défenseur d'office. Le droit du prévenu de proposer un avocat d'office ne fonde en effet pas d'obligation pour la direction de la procédure de désigner l'avocat proposé (arrêt du Tribunal fédéral 1B_387/2012 du 24 janvier 2013 consid. 4.3).</w:t>
      </w:r>
    </w:p>
    <w:p>
      <w:r>
        <w:rPr>
          <w:b/>
        </w:rPr>
        <w:t>E. 3.2</w:t>
      </w:r>
    </w:p>
    <w:p>
      <w:r>
        <w:t>Une demande de remplacement du défenseur d'office ne peut ainsi être admise que si, pour des motifs objectifs, une défense compétente et efficace des intérêts du prévenu n'est plus garantie (ATF 116 Ia 102 consid. 4b/aa). L'art 134 al. 2 CPP précise à ce propos qu'une défense compétente et efficace ne peut plus être assurée non seulement en cas de violation objective du devoir d'assistance, mais déjà en cas de perturbation grave de la relation de confiance entre le prévenu et le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 2012 du 15 août 2012 consid. 1.1).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simplement à endosser le rôle de porte-parole sans esprit critique de l'accusé, qui se limiterait à se faire l'interprète des sentiments et des arguments de son client (ATF 116 Ia 102 consid. 4b/bb p. 105 ; 105 Ia 296 consid. 1e p. 304).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 A. KUHN / Y. JEANNERET / C. PERRIER DEPEURSINGE (éds), Commentaire romand : Code de procédure pénale suisse, 2e éd., Bâle 2019, n. 20-22 ad art. 134).</w:t>
      </w:r>
    </w:p>
    <w:p>
      <w:r>
        <w:rPr>
          <w:b/>
        </w:rPr>
        <w:t>E. 3.3</w:t>
      </w:r>
    </w:p>
    <w:p>
      <w:r>
        <w:t>En l'espèce, le recourant invoque une perte de confiance en son défenseur, mais on peine à voir, dans ses affirmations péremptoires, un motif objectif de rupture de ce lien, pas plus qu'une violation objective, par l'avocat, de son devoir d'assistance. Son conseil d'office l'assiste depuis le début de la procédure, soit environ une année. Or, il n'apparaît pas que le recourant, pendant toute l'instruction et alors qu'il est en</w:t>
      </w:r>
    </w:p>
    <w:p>
      <w:r>
        <w:t>- 5/7 - P/7371/2022 détention provisoire depuis le 30 mars 2022, se soit plaint de ne pas être défendu efficacement. Aucun élément du dossier ne permet ainsi de retenir que la défense du recourant n'aurait pas été assurée de manière suffisamment efficace jusqu'ici, ni même que la relation de confiance serait atteinte, a fortiori gravement. On comprend surtout qu'il aimerait, à la veille de l'audience de jugement, changer d'avocat parce qu'il en préfèrerait un autre. Tel motif est de pure convenance. La présente demande apparaît ainsi motivée par des raisons purement subjectives qui ne justifient pas le changement du défenseur d'office, au regard des conditions strictes de l'art. 134 al. 2 CPP. Le recourant, qui bénéfice d'une défense d'office prise en charge par l'État, ne peut pas choisir librement son défenseur. Au vu de l'ensemble de ces éléments, c'est à bon droit que le Tribunal correctionnel a refusé de relever Me C______ de sa mission.</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r>
        <w:t>- 6/7 - P/7371/2022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