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ACPR/192/2021 vom 23. März 2021</w:t>
      </w:r>
    </w:p>
    <w:p>
      <w:r>
        <w:t>GE Cour de justice, 2021-03-23, FR</w:t>
      </w:r>
    </w:p>
    <w:p>
      <w:r>
        <w:rPr>
          <w:b/>
        </w:rPr>
        <w:t xml:space="preserve">Quelle: </w:t>
      </w:r>
      <w:r>
        <w:t>https://mcp.opencaselaw.ch/entscheid/ge_gerichte_ACPR_192_2021</w:t>
      </w:r>
    </w:p>
    <w:p>
      <w:r>
        <w:t>FR: GE_GERICHTE ACPR/192/2021 du 23 mars 2021</w:t>
      </w:r>
    </w:p>
    <w:p>
      <w:r>
        <w:t>IT: GE_GERICHTE ACPR/192/2021 del 23 marzo 2021</w:t>
      </w:r>
    </w:p>
    <w:p>
      <w:pPr>
        <w:pStyle w:val="Heading2"/>
      </w:pPr>
      <w:r>
        <w:t>Erwägungen</w:t>
      </w:r>
    </w:p>
    <w:p>
      <w:r>
        <w:rPr>
          <w:b/>
        </w:rPr>
        <w:t>E. 1.1</w:t>
      </w:r>
    </w:p>
    <w:p>
      <w:r>
        <w:t>La récusation des magistrats et fonctionnaires judiciaires au sein d'une autorité pénale est régie expressément par les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CPP), la requérante dispose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w:t>
      </w:r>
    </w:p>
    <w:p>
      <w:r>
        <w:t>- 6/10 - PS/85/20201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2.2</w:t>
      </w:r>
    </w:p>
    <w:p>
      <w:r>
        <w:t>En l'espèce, la requête de récusation, en ce qu'elle concerne les faits survenus lors de l'audience du 25 février 2021, est recevable puisque formulée à son issue. Par contre, ceux liés aux mandats de comparution et de perquisition, exécutés le 20 juin 2020, et au prononcé de l'ordonnance du 14 décembre 2020 sont tardifs. Ils ne seront donc pas examinés dans le cadre de la présente procédure. Il en va de même de celui lié à la demande de suspension de la procédure à laquelle la Procureure a répondu dans l'ordonnance du 14 décembre 2020.</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2009, n. 14 ad art. 56). L'inimitié au sens de l'art. 56 let. f CPP exige un rapport négatif prononcé à l'égard d'une partie, qui s'écarte des comportements sociaux habituels ("sozial Üblichen") et, d'un point de vue objectif, est de nature à influencer le magistrat à l'égard d'une partie et de la procédure. L'inimitié sous-entend des tensions</w:t>
      </w:r>
    </w:p>
    <w:p>
      <w:r>
        <w:t>- 7/10 - PS/85/20201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3.2.2</w:t>
      </w:r>
    </w:p>
    <w:p>
      <w:r>
        <w:t>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 ordnung, Basler Kommentar StPO/JStPO, Bâle 2014. n. 59 ad art. 56 CPP).</w:t>
      </w:r>
    </w:p>
    <w:p>
      <w:r>
        <w:t>- 8/10 - PS/85/20201</w:t>
      </w:r>
    </w:p>
    <w:p>
      <w:r>
        <w:rPr>
          <w:b/>
        </w:rPr>
        <w:t>E. 3.3</w:t>
      </w:r>
    </w:p>
    <w:p>
      <w:r>
        <w:t>La jurisprudence a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w:t>
      </w:r>
    </w:p>
    <w:p>
      <w:r>
        <w:rPr>
          <w:b/>
        </w:rPr>
        <w:t>E. 3.4</w:t>
      </w:r>
    </w:p>
    <w:p>
      <w:r>
        <w:t>En l'espèce, il appartenait à la requérante, si elle entendait contester les actes de procédure de la citée – l'ordonnance de perquisition et le refus de suspension –, de le faire au moyen des voies de droit idoines, la voie de la récusation n'étant pas destinée à corriger d'éventuelles erreurs de procédure, le déroulement de l'enquête pénale ou le caractère approprié des mesures probatoires. S'agissant des griefs portant sur les tensions survenues lors de l'audience du 25 février 2021, tant à teneur du procès-verbal que du résumé de la requérante, il apparaît que cette dernière, en raison de son énervement, a répondu d'une manière agressive – apostrophant C______ en exigeant son respect, son objectivité et un changement de postulat – et peu coopérative, préférant renvoyer cette dernière à ses précédentes déclarations, au dossier voire en faisant usage de son droit de se taire. Faute d'exemple fourni par la requérante ou son conseil, la Chambre de céans n'est pas en mesure d'apprécier le caractère ironique, sarcastique ou partial des prises de position de la citée. Seule ressort la phrase "Le Ministère public est trop con donc c'est renvoyé au Tribunal de Police". Ce relâchement n'est pas acceptable de la part d'un magistrat. La vulgarité n'a pas sa place en audience même à qualifier son énonciateur, voire l'institution qu'il représente, et non la requérante. Cela étant, tant à la lecture du procès-verbal que du résumé de la requérante, cette verbalisation a été émise à la suite d'un énervement réciproque des participants à l'audience. Elle ne constitue pas un indice de prévention de la part de la magistrate, en tout cas pas à elle seule, et rien ne permet d'affirmer que la citée ne serait plus en mesure de diligenter l'enquête avec le recul nécessaire. Admettre le contraire reviendrait en quelque sorte à autoriser le prévenu revendicatif, irritable ou enclin à vouloir dicter lui-même la marche de la procédure, à choisir son procureur et à en faire changer lorsque celui-ci ne satisferait pas ses demandes, ce qui ne se peut.</w:t>
      </w:r>
    </w:p>
    <w:p>
      <w:r>
        <w:rPr>
          <w:b/>
        </w:rPr>
        <w:t>E. 4</w:t>
      </w:r>
    </w:p>
    <w:p>
      <w:r>
        <w:t>La requête sera ainsi rejetée.</w:t>
      </w:r>
    </w:p>
    <w:p>
      <w:r>
        <w:rPr>
          <w:b/>
        </w:rPr>
        <w:t>E. 5</w:t>
      </w:r>
    </w:p>
    <w:p>
      <w:r>
        <w:t>La requérante, qui succombe, supportera les frais de la procédure (art. 59 al. 4 CPP). * * * * *</w:t>
      </w:r>
    </w:p>
    <w:p>
      <w:r>
        <w:t>- 9/10 - PS/85/20201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