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ACPR/18/2025 vom 8. Oktober 2024</w:t>
      </w:r>
    </w:p>
    <w:p>
      <w:r>
        <w:t>GE Cour de justice, 2024-10-08, FR</w:t>
      </w:r>
    </w:p>
    <w:p>
      <w:r>
        <w:rPr>
          <w:b/>
        </w:rPr>
        <w:t xml:space="preserve">Quelle: </w:t>
      </w:r>
      <w:r>
        <w:t>https://mcp.opencaselaw.ch/entscheid/ge_gerichte_ACPR_18_2025</w:t>
      </w:r>
    </w:p>
    <w:p>
      <w:r>
        <w:t>FR: GE_GERICHTE ACPR/18/2025 du 8 octobre 2024</w:t>
      </w:r>
    </w:p>
    <w:p>
      <w:r>
        <w:t>IT: GE_GERICHTE ACPR/18/2025 del 8 ottobre 2024</w:t>
      </w:r>
    </w:p>
    <w:p>
      <w:pPr>
        <w:pStyle w:val="Heading2"/>
      </w:pPr>
      <w:r>
        <w:t>Erwägungen</w:t>
      </w:r>
    </w:p>
    <w:p>
      <w:r>
        <w:rPr>
          <w:b/>
        </w:rPr>
        <w:t>E. 1</w:t>
      </w:r>
    </w:p>
    <w:p>
      <w:r>
        <w:t>Dans la mesure où ils concernent la même décision, il y a lieu de joindre les recours.</w:t>
      </w:r>
    </w:p>
    <w:p>
      <w:r>
        <w:rPr>
          <w:b/>
        </w:rPr>
        <w:t>E. 2</w:t>
      </w:r>
    </w:p>
    <w:p>
      <w:r>
        <w:t>Ceux-ci sont recevables pour avoir été déposés selon la forme et dans le délai prescrits (art. 385 al. 1 et 396 al. 1 CPP), concerner une ordonnance sujette à recours auprès de la Chambre de céans (art. 393 al. 1 let. a CPP) et émaner du prévenu, respectivement du plaignant qui, parties à la procédure (art. 104 al. 1 let. a et b CPP), ont qualité pour agir, ayant un intérêt juridiquement protégé à la modification ou à l'annulation de la décision querellée (art. 382 al. 1 CPP).</w:t>
      </w:r>
    </w:p>
    <w:p>
      <w:r>
        <w:rPr>
          <w:b/>
        </w:rPr>
        <w:t>E. 3</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4</w:t>
      </w:r>
    </w:p>
    <w:p>
      <w:r>
        <w:t>A______ estime qu'une ordonnance de non-entrée en matière ne pouvait pas être rendue au regard des investigations menées et se plaint d'une violation de son droit d'être entendu. 4.1.1.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terme "immédiatement" indique que l'ordonnance de non-entrée en matière doit être rendue à réception de la dénonciation, de la plainte ou du rapport de police avant qu'il ne soit</w:t>
      </w:r>
    </w:p>
    <w:p>
      <w:r>
        <w:t>- 7/14 - P/1559/2024 procédé à de plus amples actes d'enquête et qu'une instruction ne soit ouverte selon l'art. 309 CPP (arrêt du Tribunal fédéral 6B_425/2022 du 15 février 2023 consid. 4.1.1).</w:t>
      </w:r>
    </w:p>
    <w:p>
      <w:r>
        <w:t>Le ministère public peut néanmoins procéder à certaines vérifications. Il peut notamment donner des directives et confier des mandats à la police dans le cadre des investigations policières (art. 307 al. 2 CPP; arrêts du Tribunal fédéral 6B_89/2022 précité consid. 2.2 et 6B_290/2020 du 17 juillet 2020 consid. 2.2). Il peut demander des compléments d'enquête à la police, non seulement lorsqu'il s'agit de compléter un précédent rapport, mais aussi lorsque la dénonciation elle-même apparaît insuffisante (art. 309 al. 2 CPP; cf. arrêts du Tribunal fédéral 6B_89/2022 précité consid. 2.2 et 1B_67/2012 du 29 mai 2012 consid. 2.2). Il peut aussi procéder à ses propres constatations (cf. art. 309 al. 1 let. a CPP), ce qui comprend le droit de consulter les fichiers, dossiers et renseignements disponibles. Il peut demander à la personne mise en cause une simple prise de position (arrêt du Tribunal fédéral 6B_89/2022 précité consid. 2.2). L'audition du prévenu et de la partie plaignante par la police ne dépasse pas le cadre des investigations policières qui peuvent être effectuées avant que le ministère public n'ouvre une instruction (art. 206 al. 1 CPP; arrêt du Tribunal fédéral 6B_89/2022 précité consid. 2.2). Le ministère public ne peut, en revanche, ordonner des mesures de contrainte ou procéder lui-même à des auditions sans ouvrir une instruction, dans la mesure où il s'agit d'actes de procédure des autorités pénales qui portent atteinte aux droits fondamentaux des personnes intéressées (art. 196 al. 1 CPP; arrêt du Tribunal fédéral 6B_431/2013 du 8 décembre 2013 consid. 2.2 et 1B_368/2012 précité). Cette règle ne concerne pas l'ordre de dépôt, qui permet à son destinataire de fournir volontairement les objets ou valeurs qui doivent être séquestrés, précisément afin d'éviter cette mesure de contrainte (art. 265 al. 4 CPP; ATF 143 IV 21 consid. 3.1; arrêts du Tribunal fédéral 1B_492/2017 du 25 avril 2018 consid. 2.1; 6B_247/2017 du 21 mars 2018 consid. 4.1.2. En l'espèce, contrairement à ce que suppute le recourant, le Ministère public n'a pas entendu personnellement le mis en cause. La seule audition de ce dernier l'a été par la police, afin de recueillir sa position sur les accusations dont il faisait l'objet (cf. art. 206 al. 1 et 2 CPP). Ces investigations n'ont donc pas été au-delà de ce que le Ministère public peut entreprendre avant d'ouvrir – formellement ou matériellement – une instruction. Par ailleurs, au vu de la jurisprudence rappelée ci-dessus, le fait qu'un ordre de dépôt ait été adressé à la banque ne prive pas le Ministère public de la possibilité de rendre une ordonnance de non-entrée en matière, dès lors qu'il ne s'agit pas d'une mesure de contrainte. Ce grief sera dès lors rejeté. 4.2.1. Si le ministère public considère qu'une ordonnance de non-entrée en matière doit être rendue, il n'a pas à informer les parties de son choix puisque l'art. 318 CPP n'est pas applicable dans une telle situation; le droit d'être entendu des parties sera assuré,</w:t>
      </w:r>
    </w:p>
    <w:p>
      <w:r>
        <w:t>- 8/14 - P/1559/2024 le cas échéant, dans le cadre de la procédure de recours contre l'ordonnance de non- entrée en matière. Cette procédure permet aux parties de faire valoir tous leurs griefs – formels et matériels – auprès d'une autorité disposant d'une pleine cognition en fait et en droit. Inversement, faute d'ouverture d'instruction, le droit de participer à l'administration des preuves ne s'applique en principe pas, et ce y compris en cas d'investigations policières diligentées à titre de complément d'enquête requis par le ministère public en vertu de l'art. 309 al. 2 CPP (arrêt du Tribunal fédéral 6B_496/2018 du 6 septembre 2018 consid. 1.3). 4.2.2. Au vu de ce qui précède, il y a également lieu de rejeter le grief relatif à la violation du droit d'être entendu du recourant, singulièrement de son droit de participer à l'administration des preuves.</w:t>
      </w:r>
    </w:p>
    <w:p>
      <w:r>
        <w:rPr>
          <w:b/>
        </w:rPr>
        <w:t>E. 5</w:t>
      </w:r>
    </w:p>
    <w:p>
      <w:r>
        <w:t>A______ considère que des soupçons suffisants d'infraction empêchent en tout état de rendre une ordonnance de non-entrée en matière.</w:t>
      </w:r>
    </w:p>
    <w:p>
      <w:r>
        <w:rPr>
          <w:b/>
        </w:rPr>
        <w:t>E. 5.1</w:t>
      </w:r>
    </w:p>
    <w:p>
      <w:r>
        <w:t>Conformément à l'art. 310 al. 1 let. a CPP, la non-entrée en matière est justifiée lorsque la situation est claire sur le plan factuel et juridique. Tel est le cas lorsque les faits visés ne sont manifestement pas punissables, faute, de manière certaine, de réaliser les éléments constitutifs d'une infraction.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138 IV 86 consid. 4.1; 137 IV 219 consid. 7).</w:t>
      </w:r>
    </w:p>
    <w:p>
      <w:r>
        <w:rPr>
          <w:b/>
        </w:rPr>
        <w:t>E. 5.2</w:t>
      </w:r>
    </w:p>
    <w:p>
      <w:r>
        <w:t>Se rend coupable d'escroquerie au sens de l’art. 146 ch.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w:t>
      </w:r>
    </w:p>
    <w:p>
      <w:r>
        <w:t>Par tromperie, il faut entendre tout comportement destiné à faire naître chez autrui une représentation erronée des faits (ATF 140 IV 11 consid. 2.3.2; 135 IV 76 consid. 5.1).</w:t>
      </w:r>
    </w:p>
    <w:p>
      <w:r>
        <w:t>- 9/14 - P/1559/2024</w:t>
      </w:r>
    </w:p>
    <w:p>
      <w:r>
        <w:t>Pour qu'il y ait escroquerie, une simple tromperie ne suffit cependant pas; encore faut- il qu'elle soit astucieuse. Tel est le cas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142 IV 153 consid. 2.2.2; 135 IV 76 consid. 5.2).</w:t>
      </w:r>
    </w:p>
    <w:p>
      <w:r>
        <w:rPr>
          <w:b/>
        </w:rPr>
        <w:t>E. 5.3</w:t>
      </w:r>
    </w:p>
    <w:p>
      <w:r>
        <w:t>Commet un abus de confiance, au sens de l'art. 138 ch. 1 al. 2 CP, la personne qui, sans droit, emploie à son profit des valeurs patrimoniales qui lui ont été confiées.</w:t>
      </w:r>
    </w:p>
    <w:p>
      <w:r>
        <w:t>Cette infraction suppose qu'une valeur ait été confiée, autrement dit que l'auteur ait acquis la possibilité d'en disposer, mais que, conformément à un accord (exprès ou tacite) ou un autre rapport juridique, il ne puisse en faire qu'un usage déterminé (ATF 143 IV 297 consid. 1.3; 133 IV 21 consid. 6.2). Le comportement délictueux consiste à utiliser la valeur patrimoniale contrairement aux instructions reçues, en s'écartant de la destination fixée (ATF 129 IV 257 consid. 2.2.1).</w:t>
      </w:r>
    </w:p>
    <w:p>
      <w:r>
        <w:t>Celui qui transfère des valeurs patrimoniales à un tiers en contrepartie d'une prestation ne les lui "confie" pas, de sorte que le tiers ne peut pas être puni pour abus de confiance s'il ne verse pas la contre-prestation. En effet, les contrats synallagmatiques ne font en principe naître que des prétentions à une contre-prestation et non une obligation de conservation (ATF 133 IV 21 consid. 7.2; 118 IV 239 consid. 2b; arrêts du Tribunal fédéral 6B_239/2020 du 8 juin 2020 consid. 2.3.1 ; 6B_312/2009 du 17 juillet 2009 consid. 2.2).</w:t>
      </w:r>
    </w:p>
    <w:p>
      <w:r>
        <w:t>Les valeurs patrimoniales remises dans le cadre d’un contrat de prêt peuvent néanmoins, à certaines conditions, être qualifiées de valeurs patrimoniales confiées. Tel est notamment le cas lorsque le contrat de prêt contient une obligation, à charge de l’emprunteur, de conserver la contre-valeur de ce qu’il a reçu, soit une obligation de rembourser en tout temps. Il est toutefois nécessaire que l’affectation des valeurs patrimoniales soit définie avec clarté et serve à couvrir les risques du prêteur ou, du moins, à diminuer son risque de perte. L'affectation convenue doit donc représenter en elle-même une forme de garantie. L'utilisation de l'argent prêté contrairement à sa destination convenue peut dès lors être constitutive d'abus de confiance lorsqu'elle remet en cause cet objectif et s'avère propre à causer un dommage (ATF 129 IV 257 consid. 2.2.2 et 2.3; M. DUPUIS / L. MOREILLON / C. PIGUET / S. BERGER / M. MAZOU / V. RODIGARI (éds), Code pénal - Petit commentaire, 2ème éd., Bâle 2017, n. 35 ad art. 138).</w:t>
      </w:r>
    </w:p>
    <w:p>
      <w:r>
        <w:rPr>
          <w:b/>
        </w:rPr>
        <w:t>E. 5.4</w:t>
      </w:r>
    </w:p>
    <w:p>
      <w:r>
        <w:t>Dans le cas présent, A______ explique avoir transféré à B______ une somme de CHF 30'000.- en vue du rachat de parts dans le restaurant "D______".</w:t>
      </w:r>
    </w:p>
    <w:p>
      <w:r>
        <w:t>- 10/14 - P/1559/2024</w:t>
      </w:r>
    </w:p>
    <w:p>
      <w:r>
        <w:t>Il ne prétend toutefois pas avoir procédé à une quelconque vérification avant d'effectuer cette transaction. Le seul fait d'avoir constaté l'existence de l'établissement pour s'y être rendu à quelques reprises est à cet égard insuffisant et ne lui permettait en tout état ni d'avoir une quelconque certitude quant à l'identité de son propriétaire, ni une idée de la valeur de la part qui lui était prétendument cédée. Si son origine commune avec le vendeur et le fait qu'ils se côtoient de longue date a pu créer un certain sentiment de confiance, les circonstances n'étaient pas telles qu'elles pouvaient justifier de renoncer à procéder à des investigations minimales. Celles-ci étaient pourtant d'autant plus aisées que la société propriétaire était inscrite au registre du commerce, qu'elle était dotée d'un capital de CHF 100'000.- composé d'actions nominatives, que B______ n'avait aucun pouvoir de l'engager et qu'une telle acquisition sans rien connaître de la marche des affaires, en particulier sans avoir eu accès aux comptes, était particulièrement insolite et risquée.</w:t>
      </w:r>
    </w:p>
    <w:p>
      <w:r>
        <w:t>Dans ces conditions, quand bien même l'on admettrait l'existence d'une tromperie – à ce stade non établie, au vu des dénégations de son cocontractant et de tout autre élément objectif – l'on ne peut en aucun cas considérer qu'elle aurait été astucieuse.</w:t>
      </w:r>
    </w:p>
    <w:p>
      <w:r>
        <w:t>Les éléments constitutifs de l'escroquerie ne sont dès lors manifestement pas réalisés, de sorte que c'est à juste titre que le Ministère public n'est pas entré en matière sur la plainte sur ce point.</w:t>
      </w:r>
    </w:p>
    <w:p>
      <w:r>
        <w:t>Quant à l'existence d'un abus de confiance, la somme de CHF 30'000.- ne peut être considérée comme ayant été "confiée" au sens de l'art. 138 CP, dans la mesure où elle avait, selon les allégués mêmes du recourant, pour contrepartie des "parts" dans le restaurant.</w:t>
      </w:r>
    </w:p>
    <w:p>
      <w:r>
        <w:t>Le prêt de CHF 6'000.-, qui semble au demeurant avoir été remboursé, a quant à lui été concédé sans affectation particulière – la seule intention d'accélérer l'établissement des documents requis, sans autre précision, étant à cet égard trop vague – et en toute hypothèse sans qu'une destination cas échéant convenue couvre, voire même diminue, un quelconque risque de perte.</w:t>
      </w:r>
    </w:p>
    <w:p>
      <w:r>
        <w:t>Au vu de ce qui précède, c'est donc à bon droit que le Ministère public n'a pas examiné les faits sous l'angle de l'abus de confiance, infraction dont les éléments constitutifs n'étaient à l'évidence pas réunis.</w:t>
      </w:r>
    </w:p>
    <w:p>
      <w:r>
        <w:t>Partant, le recours formé par A______ doit être entièrement rejeté.</w:t>
      </w:r>
    </w:p>
    <w:p>
      <w:r>
        <w:rPr>
          <w:b/>
        </w:rPr>
        <w:t>E. 6</w:t>
      </w:r>
    </w:p>
    <w:p>
      <w:r>
        <w:t>B______ estime, quant à lui, avoir droit à une indemnité pour les frais d'avocat liés à son audition par la police.</w:t>
      </w:r>
    </w:p>
    <w:p>
      <w:r>
        <w:rPr>
          <w:b/>
        </w:rPr>
        <w:t>E. 6.1</w:t>
      </w:r>
    </w:p>
    <w:p>
      <w:r>
        <w:t>Conformément à l'art. 429 al. 1 let. a CPP, si le prévenu est acquitté, totalement ou en partie, ou s'il bénéficie d'une ordonnance de classement, il a droit à une indemnité fixée conformément au tarif des avocats pour les dépenses occasionnées par l'exercice raisonnable de ces droits de procédure.</w:t>
      </w:r>
    </w:p>
    <w:p>
      <w:r>
        <w:t>- 11/14 - P/1559/2024 Bien que cette disposition ne mentionne pas expressément l'ordonnance de non-entrée en matière, cette dernière peut également donner lieu à indemnité (ATF 139 IV 241 consid. 1).</w:t>
      </w:r>
    </w:p>
    <w:p>
      <w:r>
        <w:rPr>
          <w:b/>
        </w:rPr>
        <w:t>E. 6.2</w:t>
      </w:r>
    </w:p>
    <w:p>
      <w:r>
        <w:t>L'indemnité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arrêts du Tribunal fédéral 7B_12/2021 du 11 septembre 2023 consid. 3.1.1 et 6B_380/2021 du 21 juin 2022 consid. 2.2.1). L'allocation d'une indemnité pour frais de défense selon l'art. 429 al. 1 let. a CPP n'est pas limitée aux cas de défense obligatoire visés par l'art. 130 CPP. Elle peut être accordée dans les cas où le recours à un avocat apparaît tout simplement raisonnable. Il convient de noter que dans le cadre de l'art. 429 al. 1 let. a CPP, il s'agit de la défense d'une personne accusée à tort par l'État et impliquée contre sa volonté dans une procédure pénale. Il faut aussi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138 IV 197 consid. 2.3.5; arrêt du Tribunal fédéral 6B_403/2015 du 25 février 2016 consid. 2.1). Le seul fait qu'un crime ou un délit soit reproché au prévenu n'entraîne pas automatiquement le droit à une indemnité au sens de l'art. 429 al. 1 let. a CPP. La jurisprudence admet en particulier que l'assistance d'un avocat ne procède pas nécessairement d'un exercice raisonnable des droits de la défense lorsque l'enquête pénale est close après une première audition par la police (ATF 138 IV 197 consid. 2.3.5 ; arrêts du Tribunal fédéral 7B_512/2023 du 30 septembre 2024 consid. 2.5.1, 6B_1282/2021 du 7 septembre 2022 consid. 4.3.1 et 6B_73/2021 du 28 février 2022 consid. 3.3.1).</w:t>
      </w:r>
    </w:p>
    <w:p>
      <w:r>
        <w:rPr>
          <w:b/>
        </w:rPr>
        <w:t>E. 6.3</w:t>
      </w:r>
    </w:p>
    <w:p>
      <w:r>
        <w:t>En l'occurrence, A______ a, certes, accusé le recourant d'un crime, au vu de la peine menace prévue par les art. 138 ch. 1 al. 2 et 146 al. 1 CP (art. 10 CP). Le recourant est par ailleurs d'origine étrangère et de langue maternelle bengali, ce qui peut naturellement être source de difficultés et d'appréhension. Il n'en demeure pas moins qu'il réside en Suisse depuis près de 30 ans et maîtrise le français. Il n'a pas fait l'objet d'une arrestation et n'a été entendu qu'à une seule reprise, par la police, sur des faits clairement circonscrits, son rôle se limitant, à ce stade, à répondre aux questions qui lui étaient posées, ce qui ne présupposait aucune connaissance juridique.</w:t>
      </w:r>
    </w:p>
    <w:p>
      <w:r>
        <w:t>- 12/14 - P/1559/2024 L'ordonnance querellée a par ailleurs été rendue moins d'un mois plus tard, de sorte que le recourant a été rapidement fixé sur l'issue de la procédure. Dans ces circonstances, l'analyse du Ministère public, qui a estimé que l'assistance d'un avocat n'était pas nécessaire, n'est pas critiquable. Le recours sera, partant, rejeté.</w:t>
      </w:r>
    </w:p>
    <w:p>
      <w:r>
        <w:rPr>
          <w:b/>
        </w:rPr>
        <w:t>E. 7</w:t>
      </w:r>
    </w:p>
    <w:p>
      <w:r>
        <w:t>Justifiée, l'ordonnance querellée sera donc confirmée.</w:t>
      </w:r>
    </w:p>
    <w:p>
      <w:r>
        <w:rPr>
          <w:b/>
        </w:rPr>
        <w:t>E. 8</w:t>
      </w:r>
    </w:p>
    <w:p>
      <w:r>
        <w:t>Les recourants, qui succombent, supporteront les frais envers l'État, fixés en totalité à CHF 1'500.-, à raison de deux tiers à charge de A______ et du tiers restant à charge de B______ (art. 428 al. 1 CPP et 13 al. 1 du Règlement fixant le tarif des frais en matière pénale, RTFMP ; E 4 10.03). * * * * *</w:t>
      </w:r>
    </w:p>
    <w:p>
      <w:r>
        <w:t>- 13/14 - P/1559/2024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